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Załącznik nr 10 do regulaminu naboru do projektu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(WZÓR)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WSPARCIA ROZWOJOWEGO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rozwojowego w ramach Podmiotowego systemu finansowania usług rozwojowych (PSF)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priorytet FESL.10 Fundusze Europejskie na transformację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działanie FESL.10.17 Kształcenie osób dorosłych – FST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programu Fundusze Europejskie dla Śląskiego 2021-2027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(dla usługi typu studia podyplomowe)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ŚCIEŻKA WSPARCIA TYP II</w:t>
      </w:r>
    </w:p>
    <w:p w:rsidR="00000000" w:rsidDel="00000000" w:rsidP="00000000" w:rsidRDefault="00000000" w:rsidRPr="00000000" w14:paraId="0000000B">
      <w:pPr>
        <w:spacing w:after="600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Numer ewidencyjny użytkownika: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(ID wsparcia)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Nr Umowy: ………………../…..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bookmarkStart w:colFirst="0" w:colLast="0" w:name="_heading=h.dcib4td8hq2r" w:id="0"/>
      <w:bookmarkEnd w:id="0"/>
      <w:r w:rsidDel="00000000" w:rsidR="00000000" w:rsidRPr="00000000">
        <w:rPr>
          <w:rtl w:val="0"/>
        </w:rPr>
        <w:t xml:space="preserve">Umowa o refundację usługi rozwojowej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zwana dalej „umową wsparcia” lub „umową”, w ramach projektu pn.: „Usługi rozwojowe - dotacje na szkolenia i studia podyplomowe” o numerze FESL.10.17-IP.02-0761/23 realizowanym w ramach Programu Fundusze Europejskie dla Śląskiego 2021-2027, współfinansowanego ze środków Funduszu na Rzecz Sprawiedliwej Transformacji, </w:t>
      </w:r>
    </w:p>
    <w:p w:rsidR="00000000" w:rsidDel="00000000" w:rsidP="00000000" w:rsidRDefault="00000000" w:rsidRPr="00000000" w14:paraId="0000000E">
      <w:pPr>
        <w:spacing w:after="240" w:lineRule="auto"/>
        <w:jc w:val="both"/>
        <w:rPr/>
      </w:pPr>
      <w:bookmarkStart w:colFirst="0" w:colLast="0" w:name="_heading=h.dnd444anzdtb" w:id="1"/>
      <w:bookmarkEnd w:id="1"/>
      <w:r w:rsidDel="00000000" w:rsidR="00000000" w:rsidRPr="00000000">
        <w:rPr>
          <w:rtl w:val="0"/>
        </w:rPr>
        <w:t xml:space="preserve">zawarta w </w:t>
      </w:r>
      <w:r w:rsidDel="00000000" w:rsidR="00000000" w:rsidRPr="00000000">
        <w:rPr>
          <w:b w:val="1"/>
          <w:rtl w:val="0"/>
        </w:rPr>
        <w:t xml:space="preserve">Rudzie Śląskiej</w:t>
      </w:r>
      <w:r w:rsidDel="00000000" w:rsidR="00000000" w:rsidRPr="00000000">
        <w:rPr>
          <w:rtl w:val="0"/>
        </w:rPr>
        <w:t xml:space="preserve"> pomiędzy: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Śląskim Inkubatorem Przedsiębiorczości sp. z o. o.</w:t>
      </w:r>
      <w:r w:rsidDel="00000000" w:rsidR="00000000" w:rsidRPr="00000000">
        <w:rPr>
          <w:rtl w:val="0"/>
        </w:rPr>
        <w:t xml:space="preserve">, Operatorem regionalnym PSF, zwaną dalej „Operatorem”, pełniącą funkcję podmiotu realizującego działania związane z PSF, reprezentowaną przez jedną z następujących osób, uprawnionych do jej reprezentacji zgodnie z zasadami wskazanymi w KRS: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Izabelę Moczko - Prezes Zarządu,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Grzegorza Rączkę - Prokurenta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mającą siedzibę w Rudzie Śląskiej, pod adresem: </w:t>
      </w:r>
    </w:p>
    <w:p w:rsidR="00000000" w:rsidDel="00000000" w:rsidP="00000000" w:rsidRDefault="00000000" w:rsidRPr="00000000" w14:paraId="00000013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ul. Karola Goduli 36, 41-703 Ruda Śląska, wpisaną do rejestru przedsiębiorców KRS przez Sąd Rejonowy w Gliwicach, X Wydział Gospodarczy Krajowego Rejestru Sądowego pod numerem 0000210501, o kapitale zakładowym w wysokości 5 773 000,00 zł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NIP: 6412311445 REGON: 278215736,</w:t>
      </w:r>
    </w:p>
    <w:p w:rsidR="00000000" w:rsidDel="00000000" w:rsidP="00000000" w:rsidRDefault="00000000" w:rsidRPr="00000000" w14:paraId="00000014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……………………………………………………………………………………………………………………..(imię i nazwisko osoby),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zamieszkałą/ym pod adresem: ……………………………………..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PESEL: ……………………………………………….</w:t>
      </w:r>
    </w:p>
    <w:p w:rsidR="00000000" w:rsidDel="00000000" w:rsidP="00000000" w:rsidRDefault="00000000" w:rsidRPr="00000000" w14:paraId="00000018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zwaną/-ym dalej „osobą korzystającą z usługi”,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zwanymi dalej „Stronami umowy”.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umowy zgodnie postanawiają, co następuje: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1.</w:t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Definicje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Bazy usług rozwojowych (BUR)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Baza usług rozwojowych (BUR)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publikację ofert Usług rozwojowych świadczonych przez Dostawców usług wpisanych do BUR;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zapisów na poszczególne Usługi rozwojowe przez użytkowników (bez możliwości realizacji płatności z poziomu BUR);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zamieszczanie ogłoszeń o zapotrzebowaniu na Usługi rozwojowe;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oceny Usług rozwojowych zgodnie z Systemem oceny usług rozwojowych;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się z wynikiem ocen Usług rozwojowych dokonanych przez innych użytkowników usług.</w:t>
      </w:r>
    </w:p>
    <w:p w:rsidR="00000000" w:rsidDel="00000000" w:rsidP="00000000" w:rsidRDefault="00000000" w:rsidRPr="00000000" w14:paraId="00000026">
      <w:pPr>
        <w:spacing w:after="0" w:line="240" w:lineRule="auto"/>
        <w:ind w:left="42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skład BUR wchodzi ogólnodostępny serwis informacyjny. Dane identyfikujące Dostawcę usług, dane dotyczące Usług rozwojowych oraz oceny tych usług są udostępniane przez Administratora BUR na stronie internetowej BUR.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Biuro obsługi klienta (BOK)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miejsce, w którym jest prowadzona obsługa osób zainteresowanych uczestnictwem w projekcie, osób uczestniczących w projekcie oraz osób korzystających z usługi.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Certyfikowanie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Dostawca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świadczący Usługi rozwojowe, przedsiębiorca lub instytucja, prowadzący aktywną działalność, który świadczy usługi rozwojowe i dokonuje rejestracji w BUR za pomocą Karty Dostawcy Usług, w trybie określonym w regulaminie BUR.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oznacza dzień roboczy. Za dzień roboczy uważany jest każdy dzień od poniedziałku do piątku, z wyłączeniem dni ustawowo wolnych od pracy przypadających w tym okresie.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feghy3zcmt4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Formy wsparcia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wszelkie działania projektowe adresowane do osoby uczestniczącej w projekcie/osoby korzystającej z usługi.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 wsparcia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unikatowy numer wsparcia przydzielany do umowy wsparcia przez Administratora regionalnego BUR.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 FESL-WUP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Instytucja pośrednicząca programu Fundusze Europejskie dla Śląskiego 2021-2027 – Wojewódzki Urząd Pracy w Katowicach.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5" w:line="248.00000000000006" w:lineRule="auto"/>
        <w:ind w:left="426" w:hanging="426"/>
        <w:rPr/>
      </w:pPr>
      <w:r w:rsidDel="00000000" w:rsidR="00000000" w:rsidRPr="00000000">
        <w:rPr>
          <w:b w:val="1"/>
          <w:rtl w:val="0"/>
        </w:rPr>
        <w:t xml:space="preserve">Kompetencja</w:t>
      </w:r>
      <w:r w:rsidDel="00000000" w:rsidR="00000000" w:rsidRPr="00000000">
        <w:rPr>
          <w:rtl w:val="0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Kwalifikacja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jsyj51sd25ok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Mobilne biuro obsługi klienta (MBOK)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wsckaeqsp8l" w:id="4"/>
      <w:bookmarkEnd w:id="4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regionalny PSF (Operator)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realizację projektu i dystrybucję wsparcia na rzecz osób uczestniczących w projekcie/osób korzystających z usługi, w tym w szczególności za rekrutację tych osób do projektu oraz za zawieranie z nimi umów uczestnictwa, umów wsparcia oraz rozliczanie wsparcia. Operatorem w projekcie pn. </w:t>
      </w:r>
      <w:r w:rsidDel="00000000" w:rsidR="00000000" w:rsidRPr="00000000">
        <w:rPr>
          <w:rtl w:val="0"/>
        </w:rPr>
        <w:t xml:space="preserve">„Usługi rozwojowe - dotacje na szkolenia i studia podyplomowe” jest  Śląski Inkubator Przedsiębiorczości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wsparcia, biorąca udział w usłudze rozwojowej (określona w regulaminie BUR jako użytkownik.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uczestnictwa w projekcie.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zainteresowana uczestnictwem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wysłała fiszkę zgłoszeniową do projektu.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zakwalifikowana do projektu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której dokumenty zgłoszeniowe zostały pozytywnie zweryfikowane przez Operatora.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wstępnie zakwalifikowana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projektu (ścieżka II)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znajduje się na liście rankingowej opublikowanej na stronie internetowej Operatora.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1rch9b1khcr" w:id="5"/>
      <w:bookmarkEnd w:id="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współodpowiedzialny za realizację projektu Podmiotowego systemu finansowania (PSF) i dystrybucję wsparcia na rzecz osób uczestniczących w projekcie/osób korzystających z usługi, wskazany we wniosku o dofinansowanie realizacji projektu, którego łączy z Operatorem umowa partnerska.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Podmiotowy system finansowania (PSF)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 </w:t>
      </w:r>
      <w:r w:rsidDel="00000000" w:rsidR="00000000" w:rsidRPr="00000000">
        <w:rPr>
          <w:rtl w:val="0"/>
        </w:rPr>
        <w:t xml:space="preserve">„Usługi rozwojowe - dotacje na szkolenia i studia podyplomowe” o nr  FESL.10.17-IP.02-0761/23,  w okresie od 01.07.2024 r. do 31.12.2026 r. przez Śląski Inkubator Przedsiębiorczości sp. z o.o.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Projekt jest współfinansowany ze środków Funduszu na Rzecz Sprawiedliwej Transformacji w ramach programu Fundusze Europejskie dla Śląskiego 2021-2027, priorytetu FESL.10 Fundusze Europejskie na transformację, działanie FESL.10.17 Kształcenie osób dorosłych – FST.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Refundacja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zwrot środków za udział w usłudze rozwojowej.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regulamin naboru do projektu pn.</w:t>
      </w:r>
      <w:r w:rsidDel="00000000" w:rsidR="00000000" w:rsidRPr="00000000">
        <w:rPr>
          <w:rtl w:val="0"/>
        </w:rPr>
        <w:t xml:space="preserve">„Usługi rozwojowe - dotacje na szkolenia i studia podyplomowe” o nr  FESL.10.17-IP.02-0761/23.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oceny 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określający zasady oceny Usług rozwojowych, dokonywanej przez użytkowników w ramach profili: użytkownika, dostawcy usług, pracodawcy, stanowiący załącznik 3 do regulaminu BUR.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wsparcia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(ścieżka wsparcia typ II)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umowa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dofinansowanie ściśle określonej liczby usług rozwojowych w ramach PSF, zawierana pomiędzy Operatorem a osobą wstępnie zakwalifikowaną do projektu, określająca warunki dofinansowania, realizacji i rozliczania tych usług.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rozwojowa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usługa: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szkoleniowa – mająca na celu nabycie, potwierdzenie lub wzrost wiedzy, umiejętności lub kompetencji usługobiorcy, w tym przygotowująca do uzyskania kwalifikacji lub umożliwiająca potwierdzenie kwalifikacji lub pozwalająca na ich rozwój;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certyfikująca – mająca na celu nadanie określonej kwalifikacji;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walidująca – mająca na celu sprawdzenie czy osoba ubiegająca się o nadanie określonej kwalifikacji, niezależnie od sposobu uczenia się tej osoby, osiągnęła wyodrębnioną część lub całość efektów uczenia się wymaganych dla tej kwalifikacji;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studia podyplomowe.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Wszystkie usługi rozwojowe dofinansowane w ramach projektu muszą prowadzić do zdobycia zielonych kompetencji/kwalifikacji.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Walidacja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Walidacja to również sprawdzenie, czy osoba, niezależnie od sposobu uczenia się tej osoby, osiągnęła wyodrębnioną część lub całość efektów uczenia się wymaganych dla tej kompetencji.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Wkład własny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v40w4gzaix9" w:id="6"/>
      <w:bookmarkEnd w:id="6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Zintegrowany Rejestr Kwalifikacji (ZRK)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Zintegrowany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Kwalifikacji (ZSK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– wyodrębniona część Krajowego Systemu Kwalifikacji, w której obowiązują określone w ustawie z dnia 22 grudnia 2015 r. o Zintegrowanym Systemie Kwalifikacji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2.</w:t>
      </w:r>
    </w:p>
    <w:p w:rsidR="00000000" w:rsidDel="00000000" w:rsidP="00000000" w:rsidRDefault="00000000" w:rsidRPr="00000000" w14:paraId="0000004D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Przedmiot umowy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Operator zobowiązuje się udzielić osobie korzystającej z usługi refundacji z Funduszu na Rzecz Sprawiedliwej Transformacji za pokrycie kosztu zakupu ……..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[wpisać liczbę]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usługi rozwojowej/usług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zgodnej/zgodnych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potrzebami rozwojowymi tej osoby, w łącznej wysokości ………………. zł (słownie: …………………… złotych) i stanowiącej nie więcej niż 95% całkowitych kosztów kwalifikowanych tej usługi/tych usług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zpk1mbaybdc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dokona zwrotu środków (za wyjątkiem wymaganego wkładu własnego) osobie korzystającej z usługi/usług po zakończeniu jej udziału w tej usłudze/usługach, dostarczeniu niezbędnych dokumentów rozliczeniowych i pozytywnym rozpatrzeniu wniosku rozliczeniowego, na konto osoby korzystającej z usługi, podane w Załączniku nr 11 do regulaminu naboru, czyli wniosku o rozliczenie usługi.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danej usługi/ usług wynosi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nr ………………………………….................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dofinansowanie w kwocie ………… zł (słownie: ……………………… złotych);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wkład własny w kwocie …………. zł (słownie: ……………………… złotych).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Poniesienie przez osobę korzystającą z usługi kosztu w kwocie większej niż określona w ust. 3, nie stanowi podstawy do zwiększenia przyznanej kwoty dofinansowania.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jej opłacenia w całości na rachunek bankowy dostawcy usługi z własnego rachunku bankowego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łącznej – wynikającej z zapisów ust. 3 – wysokości …………… zł, z wyszczególnieniem w tytule przelewu ID wsparcia …………………………...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terminie do 3 dni po dokonaniu wpłaty na konto dostawcy usługi, osoba korzystająca z usługi ma obowiązek dostarczyć Operatorowi kopię faktury (bądź innego dokumentu, np. umowy z dostawcą usługi) oraz potwierdzenie zapłaty. Dokumenty te będą stanowić podstawę do zwrotu części środków (po odliczeniu wkładu własnego) osobie korzystającej z usługi, po jej ukończeniu.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poniesienia kosztów niekwalifikowalnych, o których mowa w § 6, osoba korzystająca z usługi jest zobowiązana pokryć je ze środków własnych, na zasadach określonych w umowie.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uczestnictwa w usłudze/usługach, o której/ych mowa w ust. 3 oraz zgodnie z kartą/ami usługi, stanowiącą/cymi załącznik do deklaracji wyboru usług rozwojowych, będącej/będącymi załącznikiem/załącznikami do umowy wsparcia. Minimalny poziom frekwencji na usłudze rozwojowej wynosi 80%.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Okres realizacji usługi rozwojowej jest określony w karcie usługi/usług, stanowiącej/cych załącznik do deklaracji wyboru usług rozwojowych będącej załącznikiem do umowy.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Usługi rozwojowe muszą odbywać się poza godzinami pracy lub w dni wolne od pracy osoby biorącej udział w usłudze.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Operator zobowiązuje się zapewnić osobie korzystającej z usługi wsparcie techniczne w obsłudze BUR.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oświadcza, że zapoznała się z treścią regulaminu naboru i zobowiązuje się do stosowania jego zapisów.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3.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Prawa i obowiązki Operatora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w szczególności obowiązek: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korzystającej z usługi dostępu do form wsparcia wymienionych w § 2 ust. 1 i 2, z zastrzeżeniem postanowień § 3 ust. 2 umowy;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korzystającej z usługi dostępu do biura projektu i biura obsługi klienta (BOK) oraz kontaktu z upoważnionym przedstawicielem merytorycznym Operatora;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korzystającej z usługi właściwego standardu pomieszczeń, w których jest realizowana rekrutacja, w tym przystosowania tych pomieszczeń do potrzeb osoby z niepełnosprawnościami;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żądać od osoby korzystającej z usługi, na każdym etapie uczestnictwa w projekcie dodatkowych dokumentów związanych z udziałem w projekcie, poświadczających złożone przez tą osobę oświadczenia.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do rozwiązania lub zmiany umowy na warunkach opisanych w § 10 i 11.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4.</w:t>
      </w:r>
    </w:p>
    <w:p w:rsidR="00000000" w:rsidDel="00000000" w:rsidP="00000000" w:rsidRDefault="00000000" w:rsidRPr="00000000" w14:paraId="0000006A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Prawa i obowiązki osoby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korzystającej z usługi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3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 oświadcza, że na dzień podpisania umowy spełnia następujące kryteria warunkujące udział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własnej inicjatywy chce podnosić swoje umiejętności lub kompetencje albo nabyć kwalifikacje;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osobą, która stale zamieszkuje lub pracuje na obszarze realizacji projektu;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przedsiębiorcą w rozumieniu art. 4 ust. 1-2 ustawy Prawo przedsiębiorców;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pracownikiem Operatora;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stale zamieszkuje w województwie śląskim na terenie powiatu bielskiego, cieszyńskiego, pszczyńskiego i raciborskiego oraz mieście na prawach powiatu Bielsko-Biała, tj. na terenie wskazanym w </w:t>
      </w:r>
      <w:r w:rsidDel="00000000" w:rsidR="00000000" w:rsidRPr="00000000">
        <w:rPr>
          <w:rtl w:val="0"/>
        </w:rPr>
        <w:t xml:space="preserve">Rozporządzeniu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Rady Ministrów z dnia 16 września 2024 r. w sprawie wprowadzenia stanu klęski żywiołowej na obszarze części województwa dolnośląskiego, opolskiego oraz śląskiego;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osobą pracującą w górnictwie lub branży okołogórniczej, w tym osobą, która opuściła którąś z tych branż nie wcześniej niż 1.01.2021 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przynależy do grupy osób w niekorzystnej sytuacji: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 wieku co najmniej 55 lat;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bezrobotna;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 niepełnosprawnością;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 kryzysie bezdomności lub dotknięta wykluczeniem z dostępu do mieszkań;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należąca do mniejszości, w tym społeczności marginalizowanych, takich jak np. Romowie;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 wykształceniem co najwyżej ponadgimnazjalnym.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jest zobowiązana w szczególności do: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przepisów prawa powszechnego;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aktywnego udziału we wszystkich formach wsparcia, na które zostanie skierowana przez Operatora;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stosowania się do zaleceń personelu projektu, o ile nie są sprzeczne z niniejszą umową, przepisami prawa oraz zasadami współżycia społecznego;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posługiwania się nadanym przez Operatora indywidualnym numerem zgłoszeniowym każdorazowo w prowadzonej korespondencji z Operatorem;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uczestnictwa w wywiadach i ankietach prowadzonych w ramach badań ewaluacyjnych, analiz i ekspertyz;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przedstawienia – na prośbę Operatora, na każdym etapie uczestnictwa w projekcie dodatkowych dokumentów związanych z udziałem w projekcie, poświadczających złożone przez nią oświadczenia;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  <w:tab w:val="left" w:leader="none" w:pos="851"/>
          <w:tab w:val="left" w:leader="none" w:pos="1326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dostarczenia w terminie 20 dni od zakończenia udziału w projekcie wszystkich dokumentów i informacji wskazanych przez Operatora, dotyczących udzielonego wsparcia.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ma prawo do rozwiązania umowy na warunkach opisanych w § 11 ust. 4.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rozwiązania umowy przed skorzystaniem ze wsparcia, osoba korzystająca z usługi ma możliwość przystąpić do projektu ponownie, ponownie składając fiszkę zgłoszeniową w kolejnym naborze.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5.</w:t>
      </w:r>
    </w:p>
    <w:p w:rsidR="00000000" w:rsidDel="00000000" w:rsidP="00000000" w:rsidRDefault="00000000" w:rsidRPr="00000000" w14:paraId="00000086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Koszty kwalifikowalne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Kwalifikowanie kosztu usługi rozwojowej jest możliwe w przypadku, gdy łącznie zostały spełnione poniższe warunki: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zgłoszenie na usługę zostało zrealizowane za pośrednictwem BUR z wykorzystaniem odpowiedniego ID wsparcia;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nnif4oaje7ue" w:id="8"/>
      <w:bookmarkEnd w:id="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dokonano zapisu na usługę w BUR z wykorzystaniem nadanego ID wsparcia;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wybrana, za pośrednictwem BUR, usługa musi mieć zaznaczoną opcję „możliwość dofinansowania”;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została zrealizowana zgodnie z założeniami, tj. zgodnie z programem, formą, na warunkach i w wymiarze czasowym określonym w karcie usługi a osoba korzystająca z usługi zdobyła zielone kompetencje/kwalifikacje;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została realizowana na terenie województwa śląskiego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D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usługa zakończyła się wypełnieniem ankiety oceniającej tę usługę, zgodnie z systemem oceny usług rozwojowych, oraz jej dostarczeniem przez osobę korzystającą z usługi do Operatora;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trakcie kontroli usługi (jeżeli była) nie wykazano nieprawidłowości/uchybień, które mogą świadczyć o niekwalifikowalności usługi;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wydatek został rzeczywiście poniesiony na zakup usługi;</w:t>
      </w:r>
    </w:p>
    <w:p w:rsidR="00000000" w:rsidDel="00000000" w:rsidP="00000000" w:rsidRDefault="00000000" w:rsidRPr="00000000" w14:paraId="00000090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wydatek został prawidłowo udokumentowany;</w:t>
      </w:r>
    </w:p>
    <w:p w:rsidR="00000000" w:rsidDel="00000000" w:rsidP="00000000" w:rsidRDefault="00000000" w:rsidRPr="00000000" w14:paraId="00000091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BUR zostały uzupełnione wszystkie pola dla profilu użytkownika w zakładce „Moje dane”;</w:t>
      </w:r>
    </w:p>
    <w:p w:rsidR="00000000" w:rsidDel="00000000" w:rsidP="00000000" w:rsidRDefault="00000000" w:rsidRPr="00000000" w14:paraId="00000092">
      <w:pPr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minimalny poziom frekwencji na usłudze rozwojowej wyniósł nie mniej niż 80%.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babxcyqkiy3" w:id="9"/>
      <w:bookmarkEnd w:id="9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do zasady, cena usługi rozwojowej wskazana w dokumencie księgowym nie może być wyższa od kwoty wskazanej w karcie usługi. Niemniej jednak, jeśli sytuacja taka miałaby miejsce (w przypadku nadwyżki kwoty w związku z zastosowaniem systemu płatności ratalnych za studia podyplomowe), koszt stanowiący nadwyżkę (różnica kwoty wskazanej w dokumencie księgowym a kwoty wskazanej w karcie usługi) pokrywany jest w całości przez osobę uczestniczącą w projekcie. W przypadku gdy cena usługi rozwojowej jest niższa od kwoty wskazanej w karcie usługi, Operator dokonuje zapłaty w tej niższej kwocie, w terminie zgodnym z § 7 ust. 10.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gdy wartość usługi rozwojowej przekracza dopuszczalny poziom dofinansowania, koszt usługi w zakresie niedofinansowanym w ramach projektu ponosi osoba korzystająca z usługi.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6.</w:t>
      </w:r>
    </w:p>
    <w:p w:rsidR="00000000" w:rsidDel="00000000" w:rsidP="00000000" w:rsidRDefault="00000000" w:rsidRPr="00000000" w14:paraId="00000099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Koszty niekwalifikowalne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usługi rozwojowej poniesiony przez osobę, która przerwała udział w projekcie przed zakończeniem tej usługi, nie kwalifikuje się do dofinansowania przez Operatora.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projektu nie jest możliwe kwalifikowanie kosztów usługi rozwojowej, która: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świadczona przez podmiot na rzecz swoich pracowników;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świadczona przez podmiot, z którym osoba korzystająca z usługi jest powiązana kapitałowo lub osobowo, przy czym przez powiązania kapitałowe lub osobowe rozumie się w szczególności:</w:t>
      </w:r>
    </w:p>
    <w:p w:rsidR="00000000" w:rsidDel="00000000" w:rsidP="00000000" w:rsidRDefault="00000000" w:rsidRPr="00000000" w14:paraId="0000009E">
      <w:pPr>
        <w:numPr>
          <w:ilvl w:val="1"/>
          <w:numId w:val="10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udział w spółce jako wspólnik spółki cywilnej lub spółki osobowej;</w:t>
      </w:r>
    </w:p>
    <w:p w:rsidR="00000000" w:rsidDel="00000000" w:rsidP="00000000" w:rsidRDefault="00000000" w:rsidRPr="00000000" w14:paraId="0000009F">
      <w:pPr>
        <w:numPr>
          <w:ilvl w:val="1"/>
          <w:numId w:val="10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posiadanie co najmniej 10% udziałów lub akcji spółki, o ile niższy próg nie wynika z przepisów prawa;</w:t>
      </w:r>
    </w:p>
    <w:p w:rsidR="00000000" w:rsidDel="00000000" w:rsidP="00000000" w:rsidRDefault="00000000" w:rsidRPr="00000000" w14:paraId="000000A0">
      <w:pPr>
        <w:numPr>
          <w:ilvl w:val="1"/>
          <w:numId w:val="10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pełnienie funkcji członka organu nadzorczego lub zarządzającego, prokurenta lub pełnomocnika;</w:t>
      </w:r>
    </w:p>
    <w:p w:rsidR="00000000" w:rsidDel="00000000" w:rsidP="00000000" w:rsidRDefault="00000000" w:rsidRPr="00000000" w14:paraId="000000A1">
      <w:pPr>
        <w:numPr>
          <w:ilvl w:val="1"/>
          <w:numId w:val="10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:rsidR="00000000" w:rsidDel="00000000" w:rsidP="00000000" w:rsidRDefault="00000000" w:rsidRPr="00000000" w14:paraId="000000A2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 świadczona przez podmiot pełniący funkcję Operatora lub partnera w projekcie albo przez podmiot powiązany z Operatorem lub partnerem kapitałowo lub osobowo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A3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 świadczona przez podmiot pełniący funkcję Operatora lub partnera Operatora PSF w którymkolwiek regionalnym programie lub w programie Fundusze Europejskie na Rozwój Społeczny;</w:t>
      </w:r>
    </w:p>
    <w:p w:rsidR="00000000" w:rsidDel="00000000" w:rsidP="00000000" w:rsidRDefault="00000000" w:rsidRPr="00000000" w14:paraId="000000A4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obejmuje koszty niezwiązane bezpośrednio z usługą rozwojową, w szczególności koszty środków trwałych przekazywanych osobom korzystającym z usługi,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2021-2027.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7.</w:t>
      </w:r>
    </w:p>
    <w:p w:rsidR="00000000" w:rsidDel="00000000" w:rsidP="00000000" w:rsidRDefault="00000000" w:rsidRPr="00000000" w14:paraId="000000A7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Rozliczenie wydatków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rozlicza usługę rozwojową na podstawie złożonego przez osobę korzystającą z usługi wniosku o rozliczenie usługi rozwojowej wraz z załącznikami (o których mowa poniżej)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 uiszczeniem płatności Operator weryfikuje kompletność złożonych dokumentów rozliczeniowych, do których należy wniosek o rozliczenie usługi rozwojowej wraz z załącznikami: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potwierdzeniem zapłaty za udział w usłudze rozwojowej;</w:t>
      </w:r>
    </w:p>
    <w:p w:rsidR="00000000" w:rsidDel="00000000" w:rsidP="00000000" w:rsidRDefault="00000000" w:rsidRPr="00000000" w14:paraId="000000AC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ankietą oceniającą usługę rozwojową wypełnioną przez osobę korzystającą z usługi, wygenerowanej z BUR;</w:t>
      </w:r>
    </w:p>
    <w:p w:rsidR="00000000" w:rsidDel="00000000" w:rsidP="00000000" w:rsidRDefault="00000000" w:rsidRPr="00000000" w14:paraId="000000AD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bookmarkStart w:colFirst="0" w:colLast="0" w:name="_heading=h.re0fkyyztdvi" w:id="10"/>
      <w:bookmarkEnd w:id="10"/>
      <w:r w:rsidDel="00000000" w:rsidR="00000000" w:rsidRPr="00000000">
        <w:rPr>
          <w:rFonts w:ascii="Calibri" w:cs="Calibri" w:eastAsia="Calibri" w:hAnsi="Calibri"/>
          <w:rtl w:val="0"/>
        </w:rPr>
        <w:t xml:space="preserve">kopią świadectwa ukończenia studiów podyplomowych oraz kopią dokumentu potwierdzającego ukończenie usługi rozwojowej (zgodnie ze wzorem stanowiącym załącznik nr 12 do regulaminu naboru); dokument powinien zawierać tytuł usługi rozwojowej oraz identyfikatory nadane w systemie teleinformatycznym, dane osoby korzystającej z usługi (imię, nazwisko oraz nr PESEL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5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 grudnia 2015 r. o Zintegrowanym Systemie Kwalifikacji, w sposób określony w tej ustawie oraz informację czy usługa doprowadziła do uzyskania zielonych kwalifikacji/kompetencji;</w:t>
      </w:r>
    </w:p>
    <w:p w:rsidR="00000000" w:rsidDel="00000000" w:rsidP="00000000" w:rsidRDefault="00000000" w:rsidRPr="00000000" w14:paraId="000000AE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kopiami dokumentów wskazanych w protokole z wizyty monitoringowej usług rozwojowych, w odniesieniu do których stwierdzono uchybienia podczas wizyty monitoringowej.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4iqax2xzcv3" w:id="11"/>
      <w:bookmarkEnd w:id="1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o rozliczenie usługi rozwojowej wraz załącznikami można złożyć elektronicznie poprzez opatrzenie go kwalifikowanym podpisem elektronicznym lub podpisem osobistym (e-dowód)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lub w formie papierowej (opatrzony własnoręcznym podpisem). Kopie dokumentów, o których mowa w ust. 2, muszą być potwierdzone przez osobę korzystającą z usługi za zgodność z oryginałem.</w:t>
      </w:r>
    </w:p>
    <w:p w:rsidR="00000000" w:rsidDel="00000000" w:rsidP="00000000" w:rsidRDefault="00000000" w:rsidRPr="00000000" w14:paraId="000000B0">
      <w:pPr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Dokumenty rozliczeniowe powinny zostać złożone do Operatora odrębnie dla każdej z usług objętych niniejszą umową w ciągu 30 dni, licząc od dnia następnego po dniu zakończenia usług, o których mowa w § 2 ust 3.</w:t>
      </w:r>
    </w:p>
    <w:p w:rsidR="00000000" w:rsidDel="00000000" w:rsidP="00000000" w:rsidRDefault="00000000" w:rsidRPr="00000000" w14:paraId="000000B1">
      <w:pPr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weryfikuje i zatwierdza dokumenty rozliczeniowe, o których mowa w ust. 2, w terminie nie dłuższym niż 20 dni licząc od dnia następującego po dniu złożenia przez osobę korzystającą z usługi tych dokumentów. Bieg terminu na weryfikację i zatwierdzenie dokumentów rozliczeniowych zostaje zawieszony w przypadku potrzeby uzyskania dodatkowych wyjaśnień, uzupełnienia lub korekt w zakresie dokumentów rozliczeniowych, lub potrzeby wyjaśnienia kwalifikowalności wydatku. Bieg terminu ulega zawieszeniu z chwilą wystąpienia Operatora do osoby korzystającej z usługi,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:rsidR="00000000" w:rsidDel="00000000" w:rsidP="00000000" w:rsidRDefault="00000000" w:rsidRPr="00000000" w14:paraId="000000B2">
      <w:pPr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 wyznaczonym przez Operatora terminie z zastrzeżeniem, że nie może być on krótszy niż 3 dni. Termin liczy się od dnia następującego po dniu wysłania wezwania.</w:t>
      </w:r>
    </w:p>
    <w:p w:rsidR="00000000" w:rsidDel="00000000" w:rsidP="00000000" w:rsidRDefault="00000000" w:rsidRPr="00000000" w14:paraId="000000B3">
      <w:pPr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co do zasady jednokrotnie wzywa osobę korzystającą z usługi do uzupełnienia braków formalnych lub złożenia wyjaśnień do złożonych przez tę osobę dokumentów rozliczeniowych, co oznacza, że Operator powinien wezwać w sposób kompleksowy, tj. w wezwaniu wskazać wszystkie błędy, braki i wady w złożonych dokumentach. Operator może wezwać po raz kolejny w zakresie kwestii wymagających dalszego wyjaśnienia, po uzupełnieniu dokumentów.</w:t>
      </w:r>
    </w:p>
    <w:p w:rsidR="00000000" w:rsidDel="00000000" w:rsidP="00000000" w:rsidRDefault="00000000" w:rsidRPr="00000000" w14:paraId="000000B4">
      <w:pPr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Rozliczenie usługi rozwojowej następuje na podstawie i na warunkach określonych w umowie wsparcia oraz w karcie usługi.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irv8evcaluw" w:id="12"/>
      <w:bookmarkEnd w:id="1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osoba korzystająca z usługi nie wskazała w fiszce, że usługa będzie prowadziła do nabycia kwalifikacji ( za co nie otrzymała dodatkowych punktów na etapie rekrutacji), Operator rozlicza usługi w kolejności składania poprawnych wniosków o rozliczenie;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osoba korzystająca z usługi wskazała w fiszce, że usługa będzie prowadziła do nabycia kwalifikacji (za co otrzymała dodatkowe punkty na etapie rekrutacji), Operator w pierwszej kolejności musi rozliczyć tę usługę, która  prowadzi do nabycia kwalifikacji (pod warunkiem ich uzyskania przez osobę korzystającą z usługi). W przypadku braku możliwość rozliczenia przynajmniej jednej usługi prowadzącej do nabycia kwalifikacji, z uwagi na nieuzyskanie kwalifikacji (tj. brak formalnego potwierdzenia ich uzyskania), Operator nie dokona również płatności za inne usługi.</w:t>
      </w:r>
    </w:p>
    <w:p w:rsidR="00000000" w:rsidDel="00000000" w:rsidP="00000000" w:rsidRDefault="00000000" w:rsidRPr="00000000" w14:paraId="000000B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 zatwierdzeniu otrzymanych kompletnych dokumentów rozliczeniowych, Operator zwraca osobie korzystającej z usługi część kosztu usługi wynikającą z rachunku/faktury, określoną w umowie jako dofinansowanie, w terminie nie dłuższym niż 3 dni licząc od dnia następnego po dniu zatwierdzenia tych dokumentów, na konto wskazane przez osobę korzystającą z usługi w Załączniku nr 11 do regulaminu naboru, czyli wniosku o rozliczenie usługi (pod warunkiem dostępności środków na rachunku bankowym Operatora).</w:t>
      </w:r>
    </w:p>
    <w:p w:rsidR="00000000" w:rsidDel="00000000" w:rsidP="00000000" w:rsidRDefault="00000000" w:rsidRPr="00000000" w14:paraId="000000B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Wartość łącznych płatności wynikających z wniosków o rozliczenie usług rozwojowych nie może przekroczyć wartości określonej w § 2 ust. 1 umowy wsparcia.</w:t>
      </w:r>
    </w:p>
    <w:p w:rsidR="00000000" w:rsidDel="00000000" w:rsidP="00000000" w:rsidRDefault="00000000" w:rsidRPr="00000000" w14:paraId="000000B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nie dokonuje płatności na rzecz osoby korzystającej z usługi w przypadku:</w:t>
      </w:r>
    </w:p>
    <w:p w:rsidR="00000000" w:rsidDel="00000000" w:rsidP="00000000" w:rsidRDefault="00000000" w:rsidRPr="00000000" w14:paraId="000000BB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niezłożenia przez osobę korzystającą z usługi, w wyznaczonym przez Operatora terminie, wymaganych wyjaśnień lub nieusunięcia braków w dokumentacji rozliczeniowej;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mniejszej niż 80% frekwencji na usłudze rozwojowej;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niezłożenia przez osobę korzystającą z usługi, w wyznaczonym przez Operatora terminie, skorygowanej deklaracji wyboru usług rozwojowych albo niezłożenia wymaganych wyjaśnień lub nieusunięcia braków w złożonych dokumentach;</w:t>
      </w:r>
    </w:p>
    <w:p w:rsidR="00000000" w:rsidDel="00000000" w:rsidP="00000000" w:rsidRDefault="00000000" w:rsidRPr="00000000" w14:paraId="000000BE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niewypełnienia ankiety oceniającej usługę, o której mowa w ust. 2 pkt 3;</w:t>
      </w:r>
    </w:p>
    <w:p w:rsidR="00000000" w:rsidDel="00000000" w:rsidP="00000000" w:rsidRDefault="00000000" w:rsidRPr="00000000" w14:paraId="000000BF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utrudniania przez osobę korzystającą z usługi wykonywania czynności kontrolnych;</w:t>
      </w:r>
    </w:p>
    <w:p w:rsidR="00000000" w:rsidDel="00000000" w:rsidP="00000000" w:rsidRDefault="00000000" w:rsidRPr="00000000" w14:paraId="000000C0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niewykonania przez osobę korzystającą z usługi zaleceń pokontrolnych;</w:t>
      </w:r>
    </w:p>
    <w:p w:rsidR="00000000" w:rsidDel="00000000" w:rsidP="00000000" w:rsidRDefault="00000000" w:rsidRPr="00000000" w14:paraId="000000C1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gdy wizyta monitoringowa (jeżeli była) wykaże uchybienia, które będą podstawą do uznania usługi za niekwalifikowalną;</w:t>
      </w:r>
    </w:p>
    <w:p w:rsidR="00000000" w:rsidDel="00000000" w:rsidP="00000000" w:rsidRDefault="00000000" w:rsidRPr="00000000" w14:paraId="000000C2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gdy osoba korzystająca z usługi nie uzyska kwalifikacji opisanych w karcie usługi, z uwzględnieniem zapisów ust. 9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dokonania płatności, o której mowa w ust. 11, Operator zawiadamia, wraz ze wskazaniem przyczyny, osobę korzystającą z usługi za pośrednictwem poczty elektronicznej.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Uruchomienie płatności następuje po usunięciu lub wyjaśnieniu przyczyn wymienionych w ust. 11, w terminie określonym w ust. 9.</w:t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ramach projektu jest niedozwolone podwójne finansowanie wydatków, co oznacza w szczególności:</w:t>
      </w:r>
    </w:p>
    <w:p w:rsidR="00000000" w:rsidDel="00000000" w:rsidP="00000000" w:rsidRDefault="00000000" w:rsidRPr="00000000" w14:paraId="000000C6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:rsidR="00000000" w:rsidDel="00000000" w:rsidP="00000000" w:rsidRDefault="00000000" w:rsidRPr="00000000" w14:paraId="000000C7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otrzymanie na wydatki kwalifikowalne bezzwrotnej pomocy finansowej z kilku źródeł (krajowych, unijnych lub innych) w wysokości łącznie przekraczającej 100% wydatków kwalifikowalnych usługi rozwojowej.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egrx7xhpmz4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8.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i monitoring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5popgub7qhe" w:id="14"/>
      <w:bookmarkEnd w:id="1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Kontrola, o której mowa w ust. 1, może być przeprowadzona w okresie realizacji projektu.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jest prowadzona: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dokumentach;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miejscu realizacji usługi rozwojowej (wizyta monitoringowa);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Utrudnianie lub uniemożliwienie realizacji uprawnień podmiotów kontrolujących może być traktowane jako odmowa poddania się kontroli, co może skutkować rozwiązaniem umowy.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9.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Zwrot środków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na podstawie czynności związanych z rozliczeniem usługi rozwojowej lub czynności kontrolnych uprawnionych organów zostanie stwierdzone, że: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zostało wykorzystane w całości lub części niezgodnie z przeznaczeniem;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zostało wykorzystane z naruszeniem procedur, o których mowa w art. 184 ustawy z dnia 27 sierpnia 2009 r. o finansach publicznych;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otrzymała dofinansowanie na pokrycie kosztów zakupu tej usługi w sposób nienależny lub w nadmiernej wysokości;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złożyła dokumenty stwierdzające nieprawdę w celu uzyskania dofinansowania w ramach umowy na pokrycie kosztów zakupu usługi,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wzywa tę osobę do zwrotu całości lub części dofinansowania wraz z odsetkami w wysokości określonej jak dla zaległości podatkowych, liczonymi od dnia przekazania środków.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Odsetki, o których mowa w ust. 1, naliczane są zgodnie z art. 207 ust. 1 ustawy z dnia 27 sierpnia 2009 r. o finansach publicznych.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opisuje przelew zwracanych środków zgodnie z zaleceniami Operatora.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nie jest zobowiązany do ponoszenia udokumentowanych kosztów działań windykacyjnych, podejmowanych wobec osoby korzystającej z usługi w związku z uczestnictwem w tej usłudze.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10.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Zmiany umowy</w:t>
      </w:r>
    </w:p>
    <w:p w:rsidR="00000000" w:rsidDel="00000000" w:rsidP="00000000" w:rsidRDefault="00000000" w:rsidRPr="00000000" w14:paraId="000000E9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bookmarkStart w:colFirst="0" w:colLast="0" w:name="_heading=h.h0m04lrybcht" w:id="15"/>
      <w:bookmarkEnd w:id="15"/>
      <w:r w:rsidDel="00000000" w:rsidR="00000000" w:rsidRPr="00000000">
        <w:rPr>
          <w:rFonts w:ascii="Calibri" w:cs="Calibri" w:eastAsia="Calibri" w:hAnsi="Calibri"/>
          <w:rtl w:val="0"/>
        </w:rPr>
        <w:t xml:space="preserve">Umowę należy każdorazowo zmienić, w drodze aneksu, w przypadku: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kwot, o których mowa w § 2 ust. 1, 3 i 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zmiany numeru karty usługi rozwojowej zgodnie z § 2 ust. 3.</w:t>
      </w:r>
    </w:p>
    <w:p w:rsidR="00000000" w:rsidDel="00000000" w:rsidP="00000000" w:rsidRDefault="00000000" w:rsidRPr="00000000" w14:paraId="000000EC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 aktualną kartą usługi, jeżeli następuje zmiana danych zawartych w tej deklaracji. Zmiana taka nie wymaga sporządzenia aneksu do umowy wsparcia.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43pgfsydgr6b" w:id="16"/>
      <w:bookmarkEnd w:id="1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braku możliwości zapisu na usługę (odwołane szkolenie, brak miejsc, sytuacja losowa osoby korzystającej z usługi, która jest zgłoszona Operatorowi) – dopuszcza się złożenie korekty deklaracji wyboru usługi zawierającej nową usługę, z zakresu tego samego obszaru tematycznego, na jaką została podpisana umowa – w nieprzekraczalnym terminie 10 dni od zaistnienia ww. sytuacji. Zmiana usługi wymaga sporządzenia aneksu umowy wsparcia.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 korzystająca z usługi ma obowiązek niezwłocznie poinformować Operatora o zaistniałej zmianie w formularzu zgłoszeniowym uczestnika.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 przypadku braku powiadomienia Operatora o zmianie, o której mowa w ust. 2 i ust. 3, Operator może nie uiścić zapłaty na rzecz dostawcy usługi.</w:t>
      </w:r>
    </w:p>
    <w:p w:rsidR="00000000" w:rsidDel="00000000" w:rsidP="00000000" w:rsidRDefault="00000000" w:rsidRPr="00000000" w14:paraId="000000F1">
      <w:pPr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Zmiany wynikające ze zmian w treści Regulaminu naboru do projektu nie wymagają aneksowania przedmiotowej umowy.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11.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8qipxuuhupz5" w:id="17"/>
      <w:bookmarkEnd w:id="1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może rozwiązać umowę wsparcia bez zachowania okresu wypowiedzenia, jeżeli: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o dofinansowanie projektu realizowanego przez Operatora została rozwiązana,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  <w:tab w:val="left" w:leader="none" w:pos="1560"/>
        </w:tabs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doszło do rażącego naruszenia zasad współżycia społecznego, reguł organizacyjno-porządkowych lub przepisów prawa, którego dopuszcza się osoba uczestnicząca w projekcie, w związku z jej udziałem w projekcie;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podała nieprawdziwe informacje w procesie rekrutacji do projektu;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wykorzystała w całości lub części przekazane środki niezgodnie z przeznaczeniem;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złożyła stwierdzający nieprawdę dokument w celu uzyskania dofinansowania;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otrzymała wsparcie na pokrycie kosztów zakupu usługi rozwojowej nienależnie lub w nadmiernej wysokości;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wykorzystała środki z naruszeniem procedur, o których mowa w art. 184 ustawy z dnia 27 sierpnia 2009 r. o finansach publicznych;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nie dostarczy Operatorowi kopii faktury (bądź innego dokumentu, np. umowy z dostawcą usługi) oraz potwierdzenie zapłaty, o których mowa w § 2 ust. 6;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nie przedłożyła, zgodnie z umową, wniosku o rozliczenie usługi wraz z załącznikami;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w sposób uporczywy uchyla się od wykonywania obowiązków, o których mowa w § 8 ust. 1;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nie uczestniczy w usłudze wskazanej w aktualnej deklaracji wyboru usług rozwojowych;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koszt usługi został uznany za niekwalifikowalny na etapie weryfikacji wniosku o rozliczenie.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razie rozwiązania umowy osobie korzystającej z usługi nie przysługuje odszkodowanie.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może zostać rozwiązana przez każdą ze stron w przypadku wystąpienia okoliczności, które uniemożliwiają lub nadmiernie utrudniają dalsze wykonywanie postanowień zawartych w umowie z zachowaniem 7-dniowego terminu wypowiedzenia.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rozwiązania umowy na podstawie ust. 1 pkt 2-8, osoba korzystająca z usługi zobowiązuje się do zwrotu całości lub części dofinansowania wraz z odsetkami w wysokości określonej jak dla zaległości podatkowych, na warunkach określonych w § 9 ust. 2 i 3.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 nie jest skuteczne w zakresie, w jakim stanowi ona podstawę do przetwarzania danych osobowych.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12.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Korespondencja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Wszelka korespondencja związana z realizacją umowy jest prowadzona w formie pisemnej lub za pośrednictwem poczty elektronicznej, kierowanej na poniższe adresy: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Operator:</w:t>
      </w:r>
    </w:p>
    <w:p w:rsidR="00000000" w:rsidDel="00000000" w:rsidP="00000000" w:rsidRDefault="00000000" w:rsidRPr="00000000" w14:paraId="0000010D">
      <w:pPr>
        <w:widowControl w:val="0"/>
        <w:tabs>
          <w:tab w:val="left" w:leader="none" w:pos="0"/>
        </w:tabs>
        <w:spacing w:after="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ab/>
        <w:t xml:space="preserve">ul. K. Goduli 36, 41-703 Ruda Śląska</w:t>
      </w:r>
    </w:p>
    <w:p w:rsidR="00000000" w:rsidDel="00000000" w:rsidP="00000000" w:rsidRDefault="00000000" w:rsidRPr="00000000" w14:paraId="0000010E">
      <w:pPr>
        <w:widowControl w:val="0"/>
        <w:tabs>
          <w:tab w:val="left" w:leader="none" w:pos="0"/>
        </w:tabs>
        <w:spacing w:after="0" w:line="276" w:lineRule="auto"/>
        <w:ind w:left="1560" w:hanging="420"/>
        <w:jc w:val="both"/>
        <w:rPr>
          <w:color w:val="1155cc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adres e-mail: </w:t>
      </w:r>
      <w:r w:rsidDel="00000000" w:rsidR="00000000" w:rsidRPr="00000000">
        <w:rPr>
          <w:color w:val="1155cc"/>
          <w:highlight w:val="white"/>
          <w:rtl w:val="0"/>
        </w:rPr>
        <w:t xml:space="preserve">projekt10.17@inkubatorsl.pl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-2" w:hanging="425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projekcie: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7.3228346456694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(ul., numer budynku/lokalu, kod pocztowy, miejscowość)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417.3228346456694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adres e-mail: …………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zmiany danych, o których mowa w ust. 1, strony umowy są zobowiązane do powiadomienia o tej zmianie w formie pisemnej lub za pośrednictwem poczty elektronicznej w terminie do 5 dni od dnia jej wystąpienia.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okresie obowiązywania umowy osoba korzystająca z usługi jest zobowiązana do niezwłocznego powiadamiania Operatora o wszelkich zmianach danych mających wpływ na uczestnictwo w projekcie.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 zobowiązana jest do zapewnienia prawidłowego działania i regularnego (min. raz dziennie) monitorowania skrzynki poczty elektronicznej, której adres wskazano w ust. 1 pkt 2.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13.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Postanowienia końcowe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Prawa i obowiązki osoby korzystającej z usługi wynikające z umowy nie mogą być przenoszone na rzecz osoby trzeciej.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Spory związane z realizacją umowy strony będą starały się rozwiązać polubownie.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nierozwiązania sporu w drodze polubownej, sprawa jest rozstrzygana przez sąd powszechny właściwy dla siedziby Operatora.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została sporządzona w dwóch jednobrzmiących egzemplarzach, po jednym dla Operatora i osoby korzystającej z usługi.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Dopuszcza się elektroniczne podpisanie umowy wsparcia poprzez opatrzenie jej kwalifikowanym podpisem elektronicznym lub podpisem osobistym (e-dowód)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lub przekazanie przez Operatora umowy za pośrednictwem poczty elektronicznej w celu jej wydrukowania i podpisania przez uczestnika i odesłania do Operatora za pośrednictwem Operatora pocztowego lub podmiotu prowadzącego działalność kurierską.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obowiązuje od dnia jej podpisania przez ostatnią ze stron do momentu realizacji wszystkich zobowiązań obydwu stron, wynikających z zapisów treści umowy.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</w:t>
        <w:tab/>
        <w:tab/>
        <w:tab/>
        <w:tab/>
        <w:t xml:space="preserve">………………………………..........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hanging="424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Operator (data i podpis)</w:t>
        <w:tab/>
        <w:tab/>
        <w:t xml:space="preserve">osoba uczestnicząca w projekcie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 i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Załączniki: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zgłoszeniowy do projektu,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134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2"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certyfikowania zgodna z art. 2 pkt 1 ustawy z dnia 22 grudnia 2015 r. o Zintegrowanym Systemie Kwalifikacji (.</w:t>
      </w:r>
    </w:p>
  </w:footnote>
  <w:footnote w:id="3"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kwalifikacji zgodna z art. 2 pkt 8 ustawy z dnia 22 grudnia 2015 r. o Zintegrowanym Systemie Kwalifikacji.</w:t>
      </w:r>
    </w:p>
  </w:footnote>
  <w:footnote w:id="4"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walidacji zgodna z art. 2 pkt 22 ustawy z dnia 22 grudnia 2015 r. o Zintegrowanym Systemie Kwalifikacji.</w:t>
      </w:r>
    </w:p>
  </w:footnote>
  <w:footnote w:id="5"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6"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7"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8"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Wyszczególnić każdą usługę objętą umową.</w:t>
      </w:r>
    </w:p>
  </w:footnote>
  <w:footnote w:id="9"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Dopuszczalna jest również wpłata z konta bankowego, do którego osoba uczestnicząca w projekcie posiada status współposiadacza konta. Dopuszczalne jest również przyjmowanie wpłat 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0"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Niepotrzebne skreślić.</w:t>
      </w:r>
    </w:p>
  </w:footnote>
  <w:footnote w:id="11"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Niepotrzebne skreślić.</w:t>
      </w:r>
    </w:p>
  </w:footnote>
  <w:footnote w:id="12"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Dopuszcza się realizację usługi w formule on-line na odpowiedniej platformie webinarowej. Dopuszcza się również realizację usługi poza terenem, o którym mowa w pkt 4, w przypadku: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:rsidR="00000000" w:rsidDel="00000000" w:rsidP="00000000" w:rsidRDefault="00000000" w:rsidRPr="00000000" w14:paraId="00000139">
      <w:pPr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3"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Przez powiązania kapitałowe lub osobowe należy rozumieć powiązania, o których mowa w ust. 2 pkt 2.</w:t>
      </w:r>
    </w:p>
  </w:footnote>
  <w:footnote w:id="14"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Dokumenty rozliczeniowe składane są w jednym egzemplarzu.</w:t>
      </w:r>
    </w:p>
  </w:footnote>
  <w:footnote w:id="15"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 przypadku braku nr PESEL należy podać datę urodzenia oraz typ i numer dokumentu tożsamości</w:t>
      </w:r>
    </w:p>
  </w:footnote>
  <w:footnote w:id="16"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Nie jest możliwe podpisanie wniosku podpisem zaufanym.</w:t>
      </w:r>
    </w:p>
  </w:footnote>
  <w:footnote w:id="0">
    <w:p w:rsidR="00000000" w:rsidDel="00000000" w:rsidP="00000000" w:rsidRDefault="00000000" w:rsidRPr="00000000" w14:paraId="0000014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Jednej lub więcej, zgodnie z treścią umowy.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4714875" cy="647700"/>
          <wp:effectExtent b="0" l="0" r="0" t="0"/>
          <wp:docPr descr="Logotypy programu Fundusze Europejskie dla Śląskiego 2021-2027 (mono poziom)" id="2" name="image1.png"/>
          <a:graphic>
            <a:graphicData uri="http://schemas.openxmlformats.org/drawingml/2006/picture">
              <pic:pic>
                <pic:nvPicPr>
                  <pic:cNvPr descr="Logotypy programu Fundusze Europejskie dla Śląskiego 2021-2027 (mono poziom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123" w:hanging="705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80" w:hanging="360"/>
      </w:pPr>
      <w:rPr/>
    </w:lvl>
    <w:lvl w:ilvl="1">
      <w:start w:val="0"/>
      <w:numFmt w:val="bullet"/>
      <w:lvlText w:val="●"/>
      <w:lvlJc w:val="left"/>
      <w:pPr>
        <w:ind w:left="11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20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260" w:hanging="360"/>
      </w:pPr>
      <w:rPr/>
    </w:lvl>
    <w:lvl w:ilvl="5">
      <w:start w:val="1"/>
      <w:numFmt w:val="lowerRoman"/>
      <w:lvlText w:val="%6."/>
      <w:lvlJc w:val="right"/>
      <w:pPr>
        <w:ind w:left="3980" w:hanging="180"/>
      </w:pPr>
      <w:rPr/>
    </w:lvl>
    <w:lvl w:ilvl="6">
      <w:start w:val="1"/>
      <w:numFmt w:val="decimal"/>
      <w:lvlText w:val="%7."/>
      <w:lvlJc w:val="left"/>
      <w:pPr>
        <w:ind w:left="4700" w:hanging="360"/>
      </w:pPr>
      <w:rPr/>
    </w:lvl>
    <w:lvl w:ilvl="7">
      <w:start w:val="1"/>
      <w:numFmt w:val="lowerLetter"/>
      <w:lvlText w:val="%8."/>
      <w:lvlJc w:val="left"/>
      <w:pPr>
        <w:ind w:left="5420" w:hanging="360"/>
      </w:pPr>
      <w:rPr/>
    </w:lvl>
    <w:lvl w:ilvl="8">
      <w:start w:val="1"/>
      <w:numFmt w:val="lowerRoman"/>
      <w:lvlText w:val="%9."/>
      <w:lvlJc w:val="right"/>
      <w:pPr>
        <w:ind w:left="614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425" w:hanging="425"/>
      </w:pPr>
      <w:rPr>
        <w:rFonts w:ascii="Calibri" w:cs="Calibri" w:eastAsia="Calibri" w:hAnsi="Calibri"/>
        <w:b w:val="0"/>
      </w:rPr>
    </w:lvl>
    <w:lvl w:ilvl="1">
      <w:start w:val="1"/>
      <w:numFmt w:val="decimal"/>
      <w:lvlText w:val="%2)"/>
      <w:lvlJc w:val="left"/>
      <w:pPr>
        <w:ind w:left="851" w:hanging="426.00000000000006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276" w:hanging="425"/>
      </w:pPr>
      <w:rPr/>
    </w:lvl>
    <w:lvl w:ilvl="2">
      <w:start w:val="1"/>
      <w:numFmt w:val="lowerRoman"/>
      <w:lvlText w:val="%3)"/>
      <w:lvlJc w:val="left"/>
      <w:pPr>
        <w:ind w:left="2700" w:hanging="72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851" w:hanging="426.00000000000006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1134" w:hanging="425.9999999999999"/>
      </w:pPr>
      <w:rPr/>
    </w:lvl>
    <w:lvl w:ilvl="1">
      <w:start w:val="1"/>
      <w:numFmt w:val="lowerLetter"/>
      <w:lvlText w:val="%2."/>
      <w:lvlJc w:val="left"/>
      <w:pPr>
        <w:ind w:left="1723" w:hanging="360"/>
      </w:pPr>
      <w:rPr/>
    </w:lvl>
    <w:lvl w:ilvl="2">
      <w:start w:val="1"/>
      <w:numFmt w:val="lowerRoman"/>
      <w:lvlText w:val="%3."/>
      <w:lvlJc w:val="right"/>
      <w:pPr>
        <w:ind w:left="2443" w:hanging="180"/>
      </w:pPr>
      <w:rPr/>
    </w:lvl>
    <w:lvl w:ilvl="3">
      <w:start w:val="1"/>
      <w:numFmt w:val="decimal"/>
      <w:lvlText w:val="%4."/>
      <w:lvlJc w:val="left"/>
      <w:pPr>
        <w:ind w:left="3163" w:hanging="360"/>
      </w:pPr>
      <w:rPr/>
    </w:lvl>
    <w:lvl w:ilvl="4">
      <w:start w:val="1"/>
      <w:numFmt w:val="lowerLetter"/>
      <w:lvlText w:val="%5."/>
      <w:lvlJc w:val="left"/>
      <w:pPr>
        <w:ind w:left="3883" w:hanging="360"/>
      </w:pPr>
      <w:rPr/>
    </w:lvl>
    <w:lvl w:ilvl="5">
      <w:start w:val="1"/>
      <w:numFmt w:val="lowerRoman"/>
      <w:lvlText w:val="%6."/>
      <w:lvlJc w:val="right"/>
      <w:pPr>
        <w:ind w:left="4603" w:hanging="180"/>
      </w:pPr>
      <w:rPr/>
    </w:lvl>
    <w:lvl w:ilvl="6">
      <w:start w:val="1"/>
      <w:numFmt w:val="decimal"/>
      <w:lvlText w:val="%7."/>
      <w:lvlJc w:val="left"/>
      <w:pPr>
        <w:ind w:left="5323" w:hanging="360"/>
      </w:pPr>
      <w:rPr/>
    </w:lvl>
    <w:lvl w:ilvl="7">
      <w:start w:val="1"/>
      <w:numFmt w:val="lowerLetter"/>
      <w:lvlText w:val="%8."/>
      <w:lvlJc w:val="left"/>
      <w:pPr>
        <w:ind w:left="6043" w:hanging="360"/>
      </w:pPr>
      <w:rPr/>
    </w:lvl>
    <w:lvl w:ilvl="8">
      <w:start w:val="1"/>
      <w:numFmt w:val="lowerRoman"/>
      <w:lvlText w:val="%9."/>
      <w:lvlJc w:val="right"/>
      <w:pPr>
        <w:ind w:left="6763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851" w:hanging="426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ind w:left="851" w:hanging="426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3"/>
      <w:numFmt w:val="decimal"/>
      <w:lvlText w:val="%1)"/>
      <w:lvlJc w:val="left"/>
      <w:pPr>
        <w:ind w:left="1277" w:hanging="42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851" w:hanging="426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b w:val="0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ind w:left="786" w:hanging="360.00000000000006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9">
    <w:lvl w:ilvl="0">
      <w:start w:val="1"/>
      <w:numFmt w:val="bullet"/>
      <w:lvlText w:val="−"/>
      <w:lvlJc w:val="left"/>
      <w:pPr>
        <w:ind w:left="24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2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851" w:hanging="426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cs="Times New Roman" w:hAnsi="Times New Roman"/>
      <w:position w:val="0"/>
      <w:vertAlign w:val="superscript"/>
    </w:rPr>
  </w:style>
  <w:style w:type="character" w:styleId="TekstprzypisudolnegoZnak" w:customStyle="1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 w:val="1"/>
    <w:rsid w:val="003B1413"/>
    <w:rPr>
      <w:rFonts w:ascii="Times New Roman" w:cs="Times New Roman" w:hAnsi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 w:val="1"/>
      <w:autoSpaceDN w:val="0"/>
      <w:spacing w:after="0" w:line="240" w:lineRule="auto"/>
    </w:pPr>
    <w:rPr>
      <w:rFonts w:ascii="Times New Roman" w:cs="Times New Roman" w:eastAsia="Calibri" w:hAnsi="Times New Roman"/>
      <w:kern w:val="3"/>
      <w:sz w:val="20"/>
      <w:szCs w:val="20"/>
    </w:rPr>
  </w:style>
  <w:style w:type="character" w:styleId="FootnoteTextChar1" w:customStyle="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 w:val="1"/>
    <w:rsid w:val="002A42E2"/>
    <w:rPr>
      <w:rFonts w:cs="Calibri" w:eastAsia="Times New Roman"/>
      <w:sz w:val="20"/>
      <w:szCs w:val="20"/>
      <w:lang w:eastAsia="en-US"/>
    </w:rPr>
  </w:style>
  <w:style w:type="character" w:styleId="TekstprzypisudolnegoZnak1" w:customStyle="1">
    <w:name w:val="Tekst przypisu dolnego Znak1"/>
    <w:basedOn w:val="Domylnaczcionkaakapitu"/>
    <w:uiPriority w:val="99"/>
    <w:semiHidden w:val="1"/>
    <w:rsid w:val="003B1413"/>
    <w:rPr>
      <w:rFonts w:ascii="Calibri" w:cs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locked w:val="1"/>
    <w:rsid w:val="003B1413"/>
    <w:rPr>
      <w:rFonts w:ascii="Calibri" w:cs="Calibri" w:hAnsi="Calibri"/>
      <w:sz w:val="20"/>
      <w:szCs w:val="20"/>
    </w:rPr>
  </w:style>
  <w:style w:type="paragraph" w:styleId="Akapitzlist2" w:customStyle="1">
    <w:name w:val="Akapit z listą2"/>
    <w:basedOn w:val="Normalny"/>
    <w:uiPriority w:val="99"/>
    <w:rsid w:val="003B1413"/>
    <w:pPr>
      <w:ind w:left="720"/>
    </w:pPr>
  </w:style>
  <w:style w:type="paragraph" w:styleId="Akapitzlist1" w:customStyle="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styleId="ListParagraphChar" w:customStyle="1">
    <w:name w:val="List Paragraph Char"/>
    <w:link w:val="Akapitzlist1"/>
    <w:uiPriority w:val="99"/>
    <w:locked w:val="1"/>
    <w:rsid w:val="003B1413"/>
    <w:rPr>
      <w:rFonts w:ascii="Calibri" w:cs="Calibri" w:eastAsia="Times New Roman" w:hAnsi="Calibri"/>
    </w:rPr>
  </w:style>
  <w:style w:type="paragraph" w:styleId="Akapitzlist">
    <w:name w:val="List Paragraph"/>
    <w:basedOn w:val="Normalny"/>
    <w:link w:val="AkapitzlistZnak"/>
    <w:uiPriority w:val="34"/>
    <w:qFormat w:val="1"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 w:val="1"/>
      <w:autoSpaceDN w:val="0"/>
      <w:spacing w:after="120" w:line="240" w:lineRule="auto"/>
      <w:textAlignment w:val="baseline"/>
    </w:pPr>
    <w:rPr>
      <w:rFonts w:ascii="Times New Roman" w:cs="Times New Roman" w:hAnsi="Times New Roman"/>
      <w:kern w:val="3"/>
      <w:sz w:val="20"/>
      <w:szCs w:val="20"/>
      <w:lang w:eastAsia="pl-PL"/>
    </w:rPr>
  </w:style>
  <w:style w:type="character" w:styleId="TekstpodstawowyZnak1" w:customStyle="1">
    <w:name w:val="Tekst podstawowy Znak1"/>
    <w:basedOn w:val="Domylnaczcionkaakapitu"/>
    <w:link w:val="Tekstpodstawowy"/>
    <w:uiPriority w:val="99"/>
    <w:locked w:val="1"/>
    <w:rsid w:val="003B1413"/>
    <w:rPr>
      <w:rFonts w:ascii="Times New Roman" w:cs="Times New Roman" w:hAnsi="Times New Roman"/>
      <w:kern w:val="3"/>
      <w:sz w:val="20"/>
      <w:szCs w:val="20"/>
      <w:lang w:eastAsia="pl-PL"/>
    </w:rPr>
  </w:style>
  <w:style w:type="character" w:styleId="TekstpodstawowyZnak" w:customStyle="1">
    <w:name w:val="Tekst podstawowy Znak"/>
    <w:basedOn w:val="Domylnaczcionkaakapitu"/>
    <w:uiPriority w:val="99"/>
    <w:semiHidden w:val="1"/>
    <w:rsid w:val="003B1413"/>
    <w:rPr>
      <w:rFonts w:ascii="Calibri" w:cs="Calibri" w:hAnsi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3B1413"/>
    <w:rPr>
      <w:rFonts w:ascii="Calibri" w:cs="Calibri" w:eastAsia="Times New Roman" w:hAnsi="Calibri"/>
      <w:sz w:val="20"/>
      <w:szCs w:val="20"/>
    </w:rPr>
  </w:style>
  <w:style w:type="character" w:styleId="Teksttreci2" w:customStyle="1">
    <w:name w:val="Tekst treści (2)_"/>
    <w:link w:val="Teksttreci20"/>
    <w:uiPriority w:val="99"/>
    <w:locked w:val="1"/>
    <w:rsid w:val="003B1413"/>
    <w:rPr>
      <w:shd w:color="auto" w:fill="ffffff" w:val="clear"/>
    </w:rPr>
  </w:style>
  <w:style w:type="paragraph" w:styleId="Teksttreci20" w:customStyle="1">
    <w:name w:val="Tekst treści (2)"/>
    <w:basedOn w:val="Normalny"/>
    <w:link w:val="Teksttreci2"/>
    <w:uiPriority w:val="99"/>
    <w:rsid w:val="003B1413"/>
    <w:pPr>
      <w:widowControl w:val="0"/>
      <w:shd w:color="auto" w:fill="ffffff" w:val="clear"/>
      <w:spacing w:after="240" w:before="120" w:line="240" w:lineRule="atLeast"/>
      <w:ind w:hanging="620"/>
      <w:jc w:val="center"/>
    </w:pPr>
    <w:rPr>
      <w:rFonts w:cs="Times New Roman" w:eastAsia="Calibri"/>
      <w:sz w:val="20"/>
      <w:szCs w:val="20"/>
      <w:shd w:color="auto" w:fill="ffffff" w:val="clear"/>
    </w:rPr>
  </w:style>
  <w:style w:type="character" w:styleId="AkapitzlistZnak" w:customStyle="1">
    <w:name w:val="Akapit z listą Znak"/>
    <w:link w:val="Akapitzlist"/>
    <w:uiPriority w:val="34"/>
    <w:locked w:val="1"/>
    <w:rsid w:val="003B1413"/>
    <w:rPr>
      <w:rFonts w:ascii="Calibri" w:cs="Calibri" w:eastAsia="Times New Roman" w:hAnsi="Calibri"/>
    </w:rPr>
  </w:style>
  <w:style w:type="paragraph" w:styleId="Akapitzlist3" w:customStyle="1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 w:val="1"/>
    <w:rsid w:val="003B141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locked w:val="1"/>
    <w:rsid w:val="003B1413"/>
    <w:rPr>
      <w:rFonts w:ascii="Segoe UI" w:cs="Segoe UI" w:hAnsi="Segoe UI"/>
      <w:sz w:val="18"/>
      <w:szCs w:val="18"/>
    </w:rPr>
  </w:style>
  <w:style w:type="paragraph" w:styleId="Akapitzlist4" w:customStyle="1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rsid w:val="0028411D"/>
    <w:pPr>
      <w:spacing w:line="240" w:lineRule="auto"/>
    </w:pPr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locked w:val="1"/>
    <w:rsid w:val="0028411D"/>
    <w:rPr>
      <w:rFonts w:ascii="Calibri" w:cs="Calibri" w:hAnsi="Calibri"/>
      <w:b w:val="1"/>
      <w:bCs w:val="1"/>
      <w:sz w:val="20"/>
      <w:szCs w:val="20"/>
    </w:rPr>
  </w:style>
  <w:style w:type="paragraph" w:styleId="Akapitzlist5" w:customStyle="1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 w:val="1"/>
    <w:uiPriority w:val="99"/>
    <w:semiHidden w:val="1"/>
    <w:rsid w:val="00E87443"/>
    <w:rPr>
      <w:rFonts w:cs="Calibri" w:eastAsia="Times New Roman"/>
      <w:sz w:val="22"/>
      <w:szCs w:val="22"/>
      <w:lang w:eastAsia="en-US"/>
    </w:rPr>
  </w:style>
  <w:style w:type="paragraph" w:styleId="Akapitzlist6" w:customStyle="1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styleId="Akapitzlist11" w:customStyle="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styleId="Textbody" w:customStyle="1">
    <w:name w:val="Text body"/>
    <w:basedOn w:val="Normalny"/>
    <w:rsid w:val="0072464C"/>
    <w:pPr>
      <w:tabs>
        <w:tab w:val="left" w:pos="900"/>
      </w:tabs>
      <w:suppressAutoHyphens w:val="1"/>
      <w:autoSpaceDN w:val="0"/>
      <w:spacing w:after="0" w:line="240" w:lineRule="auto"/>
      <w:jc w:val="both"/>
      <w:textAlignment w:val="baseline"/>
    </w:pPr>
    <w:rPr>
      <w:rFonts w:ascii="Times New Roman" w:cs="Times New Roman" w:hAnsi="Times New Roman"/>
      <w:kern w:val="3"/>
      <w:sz w:val="24"/>
      <w:szCs w:val="24"/>
      <w:lang w:eastAsia="pl-PL"/>
    </w:rPr>
  </w:style>
  <w:style w:type="paragraph" w:styleId="Standard" w:customStyle="1">
    <w:name w:val="Standard"/>
    <w:uiPriority w:val="99"/>
    <w:rsid w:val="0072464C"/>
    <w:pPr>
      <w:suppressAutoHyphens w:val="1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styleId="object" w:customStyle="1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 w:val="1"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D727A"/>
    <w:rPr>
      <w:rFonts w:cs="Calibri" w:eastAsia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mDmj9owZA9GsJ/PjxVQU6SlnQ==">CgMxLjAyDmguZGNpYjR0ZDhocTJyMg5oLmRuZDQ0NGFuemR0YjIOaC5vZmVnaHkzemNtdDQyDmguanN5ajUxc2QyNW9rMg5oLnN3c2NrYWVxc3A4bDIOaC5tMXJjaDliMWtoY3IyDmguZnY0MHc0Z3phaXg5Mg5oLmd6cGsxbWJheWJkYzIOaC5ubmlmNG9hamU3dWUyDmgudGJhYnhjeXFraXkzMg5oLnJlMGZreXl6dGR2aTIOaC5zNGlxYXgyeHpjdjMyDmguNWlydjhldmNhbHV3Mg5oLmhlZ3J4N3hocG16NDIOaC5jNXBvcGd1YjdxaGUyDmguaDBtMDRscnliY2h0Mg5oLjQzcGdmc3lkZ3I2YjIOaC44cWlweHV1aHVwejU4AHIhMVFtOUszLWR0aV9BR0lHR3VHTVQxVWlmU2dXMkM4dD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2025-09-01T11:28:00Z</dcterms:created>
  <dc:creator>Michał Łaczmański</dc:creator>
</cp:coreProperties>
</file>