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Załącznik nr 10 do regulaminu naboru do projektu pn. „Usługi rozwojowe - dotacje na szkolenia i studia podyplomowe” nr FESL.10.17-IP.02-0761/23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UMOWA WSPARCIA ROZWOJOWEGO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rozwojowego w ramach Podmiotowego systemu finansowania usług rozwojowych (PSF)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priorytet FESL.10 Fundusze Europejskie na transformację</w:t>
      </w:r>
    </w:p>
    <w:p w:rsidR="00000000" w:rsidDel="00000000" w:rsidP="00000000" w:rsidRDefault="00000000" w:rsidRPr="00000000" w14:paraId="00000006">
      <w:pPr>
        <w:spacing w:after="0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działanie FESL.10.17 Kształcenie osób dorosłych – FST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programu Fundusze Europejskie dla Śląskiego 2021-2027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(dla usługi typu studia podyplomowe)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ŚCIEŻKA WSPARCIA TYP II</w:t>
      </w:r>
    </w:p>
    <w:p w:rsidR="00000000" w:rsidDel="00000000" w:rsidP="00000000" w:rsidRDefault="00000000" w:rsidRPr="00000000" w14:paraId="0000000A">
      <w:pPr>
        <w:spacing w:after="600" w:lineRule="auto"/>
        <w:jc w:val="center"/>
        <w:rPr>
          <w:rFonts w:ascii="Calibri" w:cs="Calibri" w:eastAsia="Calibri" w:hAnsi="Calibri"/>
          <w:b w:val="1"/>
          <w:bCs w:val="1"/>
          <w:smallCap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Numer ewidencyjny użytkownika: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(ID wsparcia)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line="240" w:lineRule="auto"/>
        <w:jc w:val="both"/>
        <w:rPr>
          <w:rFonts w:ascii="Calibri" w:cs="Calibri" w:eastAsia="Calibri" w:hAnsi="Calibri"/>
          <w:b w:val="1"/>
          <w:bCs w:val="1"/>
          <w:smallCap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mallCaps w:val="1"/>
          <w:rtl w:val="0"/>
        </w:rPr>
        <w:t xml:space="preserve">Nr Umowy: ………………../…..</w:t>
      </w:r>
    </w:p>
    <w:p w:rsidR="00000000" w:rsidDel="00000000" w:rsidP="00000000" w:rsidRDefault="00000000" w:rsidRPr="00000000" w14:paraId="0000000C">
      <w:pPr>
        <w:spacing w:after="240" w:lineRule="auto"/>
        <w:jc w:val="both"/>
        <w:rPr/>
      </w:pPr>
      <w:r w:rsidDel="00000000" w:rsidR="00000000" w:rsidRPr="00000000">
        <w:rPr>
          <w:rtl w:val="0"/>
        </w:rPr>
        <w:t xml:space="preserve">Umowa o refundację usługi rozwojowej</w:t>
      </w:r>
      <w:r w:rsidDel="00000000" w:rsidR="00000000" w:rsidRPr="00000000">
        <w:rPr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  <w:t xml:space="preserve">, zwana dalej „umową wsparcia” lub „umową”, w ramach projektu pn.: „Usługi rozwojowe - dotacje na szkolenia i studia podyplomowe” o numerze FESL.10.17-IP.02-0761/23 realizowanym w ramach Programu Fundusze Europejskie dla Śląskiego 2021-2027, współfinansowanego ze środków Funduszu na Rzecz Sprawiedliwej Transformacji, </w:t>
      </w:r>
    </w:p>
    <w:p w:rsidR="00000000" w:rsidDel="00000000" w:rsidP="00000000" w:rsidRDefault="00000000" w:rsidRPr="00000000" w14:paraId="0000000D">
      <w:pPr>
        <w:spacing w:after="240" w:lineRule="auto"/>
        <w:jc w:val="both"/>
        <w:rPr/>
      </w:pPr>
      <w:bookmarkStart w:colFirst="0" w:colLast="0" w:name="_heading=h.dnd444anzdtb" w:id="0"/>
      <w:bookmarkEnd w:id="0"/>
      <w:r w:rsidDel="00000000" w:rsidR="00000000" w:rsidRPr="00000000">
        <w:rPr>
          <w:rtl w:val="0"/>
        </w:rPr>
        <w:t xml:space="preserve">zawarta w </w:t>
      </w:r>
      <w:r w:rsidDel="00000000" w:rsidR="00000000" w:rsidRPr="00000000">
        <w:rPr>
          <w:b w:val="1"/>
          <w:bCs w:val="1"/>
          <w:rtl w:val="0"/>
        </w:rPr>
        <w:t xml:space="preserve">Rudzie Śląskiej</w:t>
      </w:r>
      <w:r w:rsidDel="00000000" w:rsidR="00000000" w:rsidRPr="00000000">
        <w:rPr>
          <w:rtl w:val="0"/>
        </w:rPr>
        <w:t xml:space="preserve"> pomiędzy: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Śląskim Inkubatorem Przedsiębiorczości sp. z o. o.</w:t>
      </w:r>
      <w:r w:rsidDel="00000000" w:rsidR="00000000" w:rsidRPr="00000000">
        <w:rPr>
          <w:rtl w:val="0"/>
        </w:rPr>
        <w:t xml:space="preserve">, Operatorem regionalnym PSF, zwaną dalej „Operatorem”, pełniącą funkcję podmiotu realizującego działania związane z PSF, reprezentowaną przez jedną z następujących osób, uprawnionych do jej reprezentacji zgodnie z zasadami wskazanymi w KRS:</w:t>
      </w:r>
    </w:p>
    <w:p w:rsidR="00000000" w:rsidDel="00000000" w:rsidP="00000000" w:rsidRDefault="00000000" w:rsidRPr="00000000" w14:paraId="0000000F">
      <w:pPr>
        <w:numPr>
          <w:ilvl w:val="0"/>
          <w:numId w:val="32"/>
        </w:numPr>
        <w:spacing w:after="0" w:before="240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</w:t>
      </w:r>
      <w:r w:rsidDel="00000000" w:rsidR="00000000" w:rsidRPr="00000000">
        <w:rPr>
          <w:rtl w:val="0"/>
        </w:rPr>
        <w:t xml:space="preserve">Izabelę Moczko - Prezes Zarządu,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32"/>
        </w:numPr>
        <w:spacing w:after="240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</w:t>
      </w:r>
      <w:r w:rsidDel="00000000" w:rsidR="00000000" w:rsidRPr="00000000">
        <w:rPr>
          <w:rtl w:val="0"/>
        </w:rPr>
        <w:t xml:space="preserve">Grzegorza Rączkę - Prokurenta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20" w:line="240" w:lineRule="auto"/>
        <w:jc w:val="both"/>
        <w:rPr/>
      </w:pPr>
      <w:r w:rsidDel="00000000" w:rsidR="00000000" w:rsidRPr="00000000">
        <w:rPr>
          <w:rtl w:val="0"/>
        </w:rPr>
        <w:t xml:space="preserve">mającą siedzibę w Rudzie Śląskiej, pod adresem: </w:t>
      </w:r>
    </w:p>
    <w:p w:rsidR="00000000" w:rsidDel="00000000" w:rsidP="00000000" w:rsidRDefault="00000000" w:rsidRPr="00000000" w14:paraId="00000012">
      <w:pPr>
        <w:spacing w:after="240" w:line="240" w:lineRule="auto"/>
        <w:jc w:val="both"/>
        <w:rPr/>
      </w:pPr>
      <w:r w:rsidDel="00000000" w:rsidR="00000000" w:rsidRPr="00000000">
        <w:rPr>
          <w:rtl w:val="0"/>
        </w:rPr>
        <w:t xml:space="preserve">ul. Karola Goduli 36, 41-703 Ruda Śląska, wpisaną do rejestru przedsiębiorców KRS przez Sąd Rejonowy w Gliwicach, X Wydział Gospodarczy Krajowego Rejestru Sądowego pod numerem 0000210501, o kapitale zakładowym w wysokości 5 773 000,00 zł</w:t>
      </w:r>
      <w:r w:rsidDel="00000000" w:rsidR="00000000" w:rsidRPr="00000000">
        <w:rPr>
          <w:i w:val="1"/>
          <w:iCs w:val="1"/>
          <w:rtl w:val="0"/>
        </w:rPr>
        <w:t xml:space="preserve">, </w:t>
      </w:r>
      <w:r w:rsidDel="00000000" w:rsidR="00000000" w:rsidRPr="00000000">
        <w:rPr>
          <w:rtl w:val="0"/>
        </w:rPr>
        <w:t xml:space="preserve">NIP: 6412311445 REGON: 278215736,</w:t>
      </w:r>
    </w:p>
    <w:p w:rsidR="00000000" w:rsidDel="00000000" w:rsidP="00000000" w:rsidRDefault="00000000" w:rsidRPr="00000000" w14:paraId="00000013">
      <w:pPr>
        <w:spacing w:after="240" w:line="240" w:lineRule="auto"/>
        <w:rPr/>
      </w:pPr>
      <w:r w:rsidDel="00000000" w:rsidR="00000000" w:rsidRPr="00000000">
        <w:rPr>
          <w:rtl w:val="0"/>
        </w:rPr>
        <w:t xml:space="preserve">a</w:t>
      </w:r>
    </w:p>
    <w:p w:rsidR="00000000" w:rsidDel="00000000" w:rsidP="00000000" w:rsidRDefault="00000000" w:rsidRPr="00000000" w14:paraId="00000014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……………………………………………………………………………………………………………………..(imię i nazwisko osoby),</w:t>
      </w:r>
    </w:p>
    <w:p w:rsidR="00000000" w:rsidDel="00000000" w:rsidP="00000000" w:rsidRDefault="00000000" w:rsidRPr="00000000" w14:paraId="00000015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zamieszkałą/ym pod adresem: ……………………………………..</w:t>
      </w:r>
    </w:p>
    <w:p w:rsidR="00000000" w:rsidDel="00000000" w:rsidP="00000000" w:rsidRDefault="00000000" w:rsidRPr="00000000" w14:paraId="00000016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PESEL: ……………………………………………….</w:t>
      </w:r>
    </w:p>
    <w:p w:rsidR="00000000" w:rsidDel="00000000" w:rsidP="00000000" w:rsidRDefault="00000000" w:rsidRPr="00000000" w14:paraId="00000017">
      <w:pPr>
        <w:spacing w:after="240" w:line="240" w:lineRule="auto"/>
        <w:rPr/>
      </w:pPr>
      <w:r w:rsidDel="00000000" w:rsidR="00000000" w:rsidRPr="00000000">
        <w:rPr>
          <w:rtl w:val="0"/>
        </w:rPr>
        <w:t xml:space="preserve">zwaną/-ym dalej „osobą korzystającą z usługi”,</w:t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zwanymi dalej „Stronami umowy”.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Calibri" w:cs="Calibri" w:eastAsia="Calibri" w:hAnsi="Calibri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Strony umowy zgodnie postanawiają, co następuje:</w:t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§ 1.</w:t>
      </w:r>
    </w:p>
    <w:p w:rsidR="00000000" w:rsidDel="00000000" w:rsidP="00000000" w:rsidRDefault="00000000" w:rsidRPr="00000000" w14:paraId="0000001D">
      <w:pPr>
        <w:spacing w:after="120" w:line="240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Definicje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Administrator Bazy usług rozwojowych (BUR)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– podmiot odpowiedzialny za nadzorowanie prawidłowego funkcjonowania Bazy Usług Rozwojowych, zarządzanie kontami i uprawnieniami użytkowników oraz dbający o bezpieczeństwo Bazy Usług Rozwojowych i zawartych w nim danych. Funkcję Administratora BUR pełni Polska Agencja Rozwoju Przedsiębiorczości.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Baza usług rozwojowych (BUR)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– internetowy rejestr Usług rozwojowych prowadzony w formie systemu teleinformatycznego przez Administratora BUR. BUR w szczególności umożliwia prowadzenie, na podstawie art. 6aa ust. 1 ustawy z dnia 9 listopada 2000 r. o utworzeniu Polskiej Agencji Rozwoju Przedsiębiorczości rejestru podmiotów zapewniających należyte świadczenie usług rozwojowych, współfinansowanych ze środków publicznych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1"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Szczegółowe zasady funkcjonowania BUR określa rozporządzenie Ministra Funduszy i Polityki Regionalnej z dnia 28 lipca 2023 r. w sprawie rejestru podmiotów świadczących usługi rozwojowe. BUR przeznaczona jest dla instytucji/przedsiębiorców, ich pracowników oraz pozostałych osób fizycznych. BUR realizuje w szczególności obsługę następujących procesów: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hanging="425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publikację ofert Usług rozwojowych świadczonych przez Dostawców usług wpisanych do BUR;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hanging="425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dokonywanie zapisów na poszczególne Usługi rozwojowe przez użytkowników (bez możliwości realizacji płatności z poziomu BUR);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hanging="425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zamieszczanie ogłoszeń o zapotrzebowaniu na Usługi rozwojowe;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hanging="425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dokonywanie oceny Usług rozwojowych zgodnie z Systemem oceny usług rozwojowych;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hanging="425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zapoznanie się z wynikiem ocen Usług rozwojowych dokonanych przez innych użytkowników usług.</w:t>
      </w:r>
    </w:p>
    <w:p w:rsidR="00000000" w:rsidDel="00000000" w:rsidP="00000000" w:rsidRDefault="00000000" w:rsidRPr="00000000" w14:paraId="00000025">
      <w:pPr>
        <w:spacing w:after="0" w:line="240" w:lineRule="auto"/>
        <w:ind w:left="426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 skład BUR wchodzi ogólnodostępny serwis informacyjny. Dane identyfikujące Dostawcę usług, dane dotyczące Usług rozwojowych oraz oceny tych usług są udostępniane przez Administratora BUR na stronie internetowej BUR.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Biuro obsługi klienta (BOK)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– miejsce, w którym jest prowadzona obsługa osób zainteresowanych uczestnictwem w projekcie, osób uczestniczących w projekcie oraz osób korzystających z usługi.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Certyfikowanie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– proces, w wyniku którego osoba ubiegająca się o nadanie określonej kwalifikacji, po uzyskaniu pozytywnego wyniku walidacji, otrzymuje od uprawnionego podmiotu certyfikującego dokument potwierdzający nadanie określonej kwalifikacji</w:t>
      </w:r>
      <w:r w:rsidDel="00000000" w:rsidR="00000000" w:rsidRPr="00000000">
        <w:rPr>
          <w:rFonts w:ascii="Calibri" w:cs="Calibri" w:eastAsia="Calibri" w:hAnsi="Calibri"/>
          <w:vertAlign w:val="superscript"/>
        </w:rPr>
        <w:footnoteReference w:customMarkFollows="0" w:id="2"/>
      </w:r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Deklaracja wyboru usług rozwojowych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– dokument składany bezpośrednio do Operatora, w treści którego osoba uczestnicząca w projekcie (ścieżka I) lub osoba wstępnie zakwalifikowana do projektu (ścieżka II) wskazuje wybrane przez siebie usługi rozwojowe. Wzór dokumentu stanowi załącznik nr 3 do Regulaminu naboru do projektu.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Dostawca usługi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– podmiot świadczący Usługi rozwojowe, przedsiębiorca lub instytucja, prowadzący aktywną działalność, który świadczy usługi rozwojowe i dokonuje rejestracji w BUR za pomocą Karty Dostawcy Usług, w trybie określonym w regulaminie BUR.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Dzień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– oznacza dzień roboczy. Za dzień roboczy uważany jest każdy dzień od poniedziałku do piątku, z wyłączeniem dni ustawowo wolnych od pracy przypadających w tym okresie.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rso9cf48pcxx" w:id="1"/>
      <w:bookmarkEnd w:id="1"/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Formy wsparcia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– wszelkie działania projektowe adresowane do osoby uczestniczącej w projekcie/osoby korzystającej z usługi.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 wsparcia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– unikatowy numer wsparcia przydzielany do umowy wsparcia przez Administratora regionalnego BUR.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IP FESL-WUP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– Instytucja pośrednicząca programu Fundusze Europejskie dla Śląskiego 2021-2027 – Wojewódzki Urząd Pracy w Katowicach.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Karta usługi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– formularz określający zakres informacji umożliwiających publikację danej Usługi rozwojowej w BUR oraz dostępny na stronie internetowej BUR, którego wzór stanowi załącznik nr 2 do regulaminu BUR.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spacing w:after="5" w:line="248.00000000000006" w:lineRule="auto"/>
        <w:ind w:left="426" w:hanging="426"/>
        <w:rPr/>
      </w:pPr>
      <w:r w:rsidDel="00000000" w:rsidR="00000000" w:rsidRPr="00000000">
        <w:rPr>
          <w:b w:val="1"/>
          <w:bCs w:val="1"/>
          <w:rtl w:val="0"/>
        </w:rPr>
        <w:t xml:space="preserve">Kompetencja</w:t>
      </w:r>
      <w:r w:rsidDel="00000000" w:rsidR="00000000" w:rsidRPr="00000000">
        <w:rPr>
          <w:rtl w:val="0"/>
        </w:rPr>
        <w:t xml:space="preserve"> - wyodrębniony zestaw efektów uczenia się / kształcenia, który został sprawdzony w procesie walidacji w sposób zgodny z wymaganiami ustalonymi dla danej kompetencji, odnoszącymi się w szczególności do składających się na nią efektów uczenia się.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Kwalifikacja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– zestaw efektów uczenia się w zakresie wiedzy, umiejętności oraz kompetencji społecznych, nabytych w edukacji formalnej, edukacji pozaformalnej lub poprzez uczenie się nieformalne, zgodnych z ustalonymi dla danej kwalifikacji wymaganiami, których osiągnięcie zostało sprawdzone w walidacji oraz formalnie potwierdzone przez uprawniony podmiot certyfikujący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3"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rw5uhtf6oe72" w:id="2"/>
      <w:bookmarkEnd w:id="2"/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Mobilne biuro obsługi klienta (MBOK)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– BOK poza miejscowością działania BOK stacjonarnego. Jego działalność polega na organizacji pracy punktów w terenie, obejmującej pełen zakres usług, w sposób umożliwiający zachowanie prywatności osób zainteresowanych udziałem w projekcie/osób uczestniczących w projekcie/osób korzystających z usługi. Usługi MBOK świadczone są minimum 4 razy w miesiącu.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o0kwdwb7gytu" w:id="3"/>
      <w:bookmarkEnd w:id="3"/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Operator regionalny PSF (Operator)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– podmiot odpowiedzialny za realizację projektu i dystrybucję wsparcia na rzecz osób uczestniczących w projekcie/osób korzystających z usługi, w tym w szczególności za rekrutację tych osób do projektu oraz za zawieranie z nimi umów uczestnictwa, umów wsparcia oraz rozliczanie wsparcia. Operatorem w projekcie pn. „Usługi rozwojowe - dotacje na szkolenia i studia podyplomowe” jest  Śląski Inkubator Przedsiębiorczości sp. z o.o.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Osoba korzystająca z usługi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– osoba fizyczna, która podpisała umowę wsparcia, biorąca udział w usłudze rozwojowej (określona w regulaminie BUR jako użytkownik.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Osoba uczestnicząca w projekcie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– osoba fizyczna, która podpisała umowę uczestnictwa w projekcie.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Osoba zainteresowana uczestnictwem w projekcie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– osoba fizyczna, która wysłała fiszkę zgłoszeniową do projektu.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Osoba zakwalifikowana do projektu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– osoba fizyczna, której dokumenty zgłoszeniowe zostały pozytywnie zweryfikowane przez Operatora.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Osoba wstępnie zakwalifikowana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 projektu (ścieżka II)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– osoba fizyczna, która znajduje się na liście rankingowej opublikowanej na stronie internetowej Operatora.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rkcby1penggc" w:id="4"/>
      <w:bookmarkEnd w:id="4"/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Partner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– podmiot współodpowiedzialny za realizację projektu Podmiotowego systemu finansowania (PSF) i dystrybucję wsparcia na rzecz osób uczestniczących w projekcie/osób korzystających z usługi, wskazany we wniosku o dofinansowanie realizacji projektu, którego łączy z Operatorem umowa partnerska.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Podmiotowy system finansowania (PSF)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– system dystrybucji środków Europejskiego Funduszu Społecznego Plus oraz Funduszu na Rzecz Sprawiedliwej Transformacji przeznaczonych na wspieranie rozwoju przedsiębiorców, pracowników i osób fizycznych, oparty na podejściu popytowym i wdrażany w ramach programu Fundusze Europejskie dla Śląskiego 2021-2027.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Projekt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– przedsięwzięcie, o którym mowa w art. 2 pkt 22 ustawy z dnia 28 kwietnia 2022 r. o zasadach realizacji zadań finansowanych ze środków europejskich w perspektywie finansowej 2021-2027, realizowane w ramach PSF, pn. „Usługi rozwojowe - dotacje na szkolenia i studia podyplomowe” o nr  FESL.10.17-IP.02-0761/23,  w okresie od 01.07.2024 r. do 31.12.2026 r. przez Śląski Inkubator Przedsiębiorczości sp. z o.o. Projekt jest współfinansowany ze środków Funduszu na Rzecz Sprawiedliwej Transformacji w ramach programu Fundusze Europejskie dla Śląskiego 2021-2027, priorytetu FESL.10 Fundusze Europejskie na transformację, działanie FESL.10.17 Kształcenie osób dorosłych – FST.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Refundacja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– zwrot środków za udział w usłudze rozwojowej.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Regulamin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– regulamin naboru do projektu pn. „Usługi rozwojowe - dotacje na szkolenia i studia podyplomowe” o nr  FESL.10.17-IP.02-0761/23.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System oceny usług rozwojowych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– dokument określający zasady oceny Usług rozwojowych, dokonywanej przez użytkowników w ramach profili: użytkownika, dostawcy usług, pracodawcy, stanowiący załącznik 3 do regulaminu BUR.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Umowa wsparcia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(ścieżka wsparcia typ II)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– umowa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dofinansowanie ściśle określonej liczby usług rozwojowych w ramach PSF, zawierana pomiędzy Operatorem a osobą wstępnie zakwalifikowaną do projektu, określająca warunki dofinansowania, realizacji i rozliczania tych usług.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Usługa rozwojowa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– usługa: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0" w:line="240" w:lineRule="auto"/>
        <w:ind w:left="851" w:right="0" w:hanging="425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szkoleniowa – mająca na celu nabycie, potwierdzenie lub wzrost wiedzy, umiejętności lub kompetencji usługobiorcy, w tym przygotowująca do uzyskania kwalifikacji lub umożliwiająca potwierdzenie kwalifikacji lub pozwalająca na ich rozwój;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0" w:line="240" w:lineRule="auto"/>
        <w:ind w:left="851" w:right="0" w:hanging="425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certyfikująca – mająca na celu nadanie określonej kwalifikacji;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0" w:line="240" w:lineRule="auto"/>
        <w:ind w:left="851" w:right="0" w:hanging="425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walidująca – mająca na celu sprawdzenie czy osoba ubiegająca się o nadanie określonej kwalifikacji, niezależnie od sposobu uczenia się tej osoby, osiągnęła wyodrębnioną część lub całość efektów uczenia się wymaganych dla tej kwalifikacji;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0" w:line="240" w:lineRule="auto"/>
        <w:ind w:left="851" w:right="0" w:hanging="425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studia podyplomowe.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0" w:line="240" w:lineRule="auto"/>
        <w:ind w:left="426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Wszystkie usługi rozwojowe dofinansowane w ramach projektu muszą prowadzić do zdobycia zielonych kompetencji/kwalifikacji.</w:t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Walidacja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– sprawdzenie, czy osoba ubiegająca się o nadanie określonej kwalifikacji, niezależnie od sposobu uczenia się tej osoby, osiągnęła wyodrębnioną część lub całość efektów uczenia się wymaganych dla tej kwalifikacji. Walidacja poprzedza certyfikowanie. Walidacja powinna być prowadzona w sposób trafny (weryfikowane są te efekty uczenia się, które zostały określone dla danej kwalifikacji) i rzetelny (wynik weryfikacji jest niezależny od miejsca, czasu, metod oraz osób przeprowadzających walidację). Walidację wieńczy podjęcie i wydanie decyzji, jakie efekty uczenia się zostały potwierdzone w jej trakcie, jakie zaś nie.</w:t>
      </w:r>
      <w:r w:rsidDel="00000000" w:rsidR="00000000" w:rsidRPr="00000000">
        <w:rPr>
          <w:rFonts w:ascii="Calibri" w:cs="Calibri" w:eastAsia="Calibri" w:hAnsi="Calibri"/>
          <w:vertAlign w:val="superscript"/>
        </w:rPr>
        <w:footnoteReference w:customMarkFollows="0" w:id="4"/>
      </w:r>
      <w:r w:rsidDel="00000000" w:rsidR="00000000" w:rsidRPr="00000000">
        <w:rPr>
          <w:rFonts w:ascii="Calibri" w:cs="Calibri" w:eastAsia="Calibri" w:hAnsi="Calibri"/>
          <w:rtl w:val="0"/>
        </w:rPr>
        <w:t xml:space="preserve">. Walidacja to również sprawdzenie, czy osoba, niezależnie od sposobu uczenia się tej osoby, osiągnęła wyodrębnioną część lub całość efektów uczenia się wymaganych dla tej kompetencji.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Wkład własny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– środki pieniężne wnoszone przez osobę korzystającą z usługi na rachunek bankowy Operatora, w kwocie stanowiącej różnicę pomiędzy wartością usługi rozwojowej (innej niż studia podyplomowe) w ramach PSF, a kwotą przysługującego tej osobie dofinansowania do tej usługi.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7" w:right="0" w:hanging="357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6cwisgnlnf3b" w:id="5"/>
      <w:bookmarkEnd w:id="5"/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Zintegrowany Rejestr Kwalifikacji (ZRK) -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rejestr publiczny w rozumieniu art. 3 pkt 5 ustawy z dnia 17 lutego 2005 r. o informatyzacji działalności podmiotów realizujących zadania publiczne, prowadzony w systemie teleinformatycznym, ewidencjonujący kwalifikacje włączone do Zintegrowanego Systemu Kwalifikacji.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Zintegrowany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System Kwalifikacji (ZSK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 – wyodrębniona część Krajowego Systemu Kwalifikacji, w której obowiązują określone w ustawie z dnia 22 grudnia 2015 r. o Zintegrowanym Systemie Kwalifikacji standardy opisywania kwalifikacji oraz przypisywania poziomu Polskiej Ramy Kwalifikacji do kwalifikacji, zasady włączania kwalifikacji do Zintegrowanego Systemu Kwalifikacji i ich ewidencjonowania w Zintegrowanym Rejestrze Kwalifikacji, a także zasady i standardy certyfikowania kwalifikacji oraz zapewniania jakości nadawania kwalifikacji.</w:t>
      </w:r>
    </w:p>
    <w:p w:rsidR="00000000" w:rsidDel="00000000" w:rsidP="00000000" w:rsidRDefault="00000000" w:rsidRPr="00000000" w14:paraId="0000004A">
      <w:pPr>
        <w:spacing w:after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§ 2.</w:t>
      </w:r>
    </w:p>
    <w:p w:rsidR="00000000" w:rsidDel="00000000" w:rsidP="00000000" w:rsidRDefault="00000000" w:rsidRPr="00000000" w14:paraId="0000004C">
      <w:pPr>
        <w:spacing w:after="120" w:line="240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Przedmiot umowy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 warunkach określonych w umowie Operator zobowiązuje się udzielić osobie korzystającej z usługi refundacji z Funduszu na Rzecz Sprawiedliwej Transformacji za pokrycie kosztu zakupu ……..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[wpisać liczbę]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usługi rozwojowej/usług rozwojowych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5"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zgodnej/zgodnych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6"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z potrzebami rozwojowymi tej osoby, w łącznej wysokości ………………. zł (słownie: …………………… złotych) i stanowiącej nie więcej niż 95% całkowitych kosztów kwalifikowanych tej usługi/tych usług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7"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y9mojbbftynz" w:id="6"/>
      <w:bookmarkEnd w:id="6"/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Operator dokona zwrotu środków (za wyjątkiem wymaganego wkładu własnego) osobie korzystającej z usługi/usług po zakończeniu jej udziału w tej usłudze/usługach, dostarczeniu niezbędnych dokumentów rozliczeniowych i pozytywnym rozpatrzeniu wniosku rozliczeniowego, na konto osoby korzystającej z usługi, podane w Załączniku nr 11 do regulaminu naboru, czyli wniosku o rozliczenie usługi.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Koszt danej usługi/ usług wynosi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8"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hanging="425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usługa nr ………………………………….................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2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76" w:right="0" w:hanging="425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dofinansowanie w kwocie ………… zł (słownie: ……………………… złotych);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2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76" w:right="0" w:hanging="425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wkład własny w kwocie …………. zł (słownie: ……………………… złotych).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Poniesienie przez osobę korzystającą z usługi kosztu w kwocie większej niż określona w ust. 3, nie stanowi podstawy do zwiększenia przyznanej kwoty dofinansowania.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Osoba korzystająca z usługi zobowiązuje się do jej opłacenia w całości na rachunek bankowy dostawcy usługi z własnego rachunku bankowego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9"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w łącznej – wynikającej z zapisów ust. 3 – wysokości …………… zł, z wyszczególnieniem w tytule przelewu ID wsparcia …………………………...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 terminie do 3 dni po dokonaniu wpłaty na konto dostawcy usługi, osoba korzystająca z usługi ma obowiązek dostarczyć Operatorowi kopię faktury (bądź innego dokumentu, np. umowy z dostawcą usługi) oraz potwierdzenie zapłaty. Dokumenty te będą stanowić podstawę do zwrotu części środków (po odliczeniu wkładu własnego) osobie korzystającej z usługi, po jej ukończeniu.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 przypadku poniesienia kosztów niekwalifikowalnych, o których mowa w § 6, osoba korzystająca z usługi jest zobowiązana pokryć je ze środków własnych, na zasadach określonych w umowie.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Osoba korzystająca z usługi zobowiązuje się do uczestnictwa w usłudze/usługach, o której/ych mowa w ust. 3 oraz zgodnie z kartą/ami usługi, stanowiącą/cymi załącznik do deklaracji wyboru usług rozwojowych, będącej/będącymi załącznikiem/załącznikami do umowy wsparcia. Minimalny poziom frekwencji na usłudze rozwojowej wynosi 80%.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Okres realizacji usługi rozwojowej jest określony w karcie usługi/usług, stanowiącej/cych załącznik do deklaracji wyboru usług rozwojowych będącej załącznikiem do umowy.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Usługi rozwojowe muszą odbywać się poza godzinami pracy lub w dni wolne od pracy osoby biorącej udział w usłudze.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0" w:line="240" w:lineRule="auto"/>
        <w:ind w:left="425" w:right="0" w:hanging="425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 warunkach określonych w umowie Operator zobowiązuje się zapewnić osobie korzystającej z usługi wsparcie techniczne w obsłudze BUR.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Osoba korzystająca z usługi oświadcza, że zapoznała się z treścią regulaminu naboru i zobowiązuje się do stosowania jego zapisów.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§ 3.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Prawa i obowiązki Operatora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  <w:tab w:val="left" w:leader="none" w:pos="426"/>
        </w:tabs>
        <w:spacing w:after="0" w:before="0" w:line="240" w:lineRule="auto"/>
        <w:ind w:left="426" w:right="0" w:hanging="426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Operator ma w szczególności obowiązek: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numPr>
          <w:ilvl w:val="1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  <w:tab w:val="left" w:leader="none" w:pos="851"/>
        </w:tabs>
        <w:spacing w:after="0" w:before="0" w:line="240" w:lineRule="auto"/>
        <w:ind w:left="851" w:right="0" w:hanging="425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zapewnienia osobie korzystającej z usługi dostępu do form wsparcia wymienionych w § 2 ust. 1 i 2, z zastrzeżeniem postanowień § 3 ust. 2 umowy;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1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  <w:tab w:val="left" w:leader="none" w:pos="851"/>
        </w:tabs>
        <w:spacing w:after="0" w:before="0" w:line="240" w:lineRule="auto"/>
        <w:ind w:left="851" w:right="0" w:hanging="425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zapewnienia osobie korzystającej z usługi dostępu do biura projektu i biura obsługi klienta (BOK) oraz kontaktu z upoważnionym przedstawicielem merytorycznym Operatora;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numPr>
          <w:ilvl w:val="1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  <w:tab w:val="left" w:leader="none" w:pos="851"/>
        </w:tabs>
        <w:spacing w:after="0" w:before="0" w:line="240" w:lineRule="auto"/>
        <w:ind w:left="851" w:right="0" w:hanging="425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Zapewnienie wsparcia obejmującego pomoc dotyczącą uzyskania i stosowania podpisu elektronicznego (wskazanie możliwości i sposobu uzyskania podpisu, a także asysta przy jego uzyskaniu oraz składaniu takiego podpisu na dokumentacji wymaganej podczas aplikowania o wsparcie/podpisaniu umów);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numPr>
          <w:ilvl w:val="1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  <w:tab w:val="left" w:leader="none" w:pos="851"/>
        </w:tabs>
        <w:spacing w:after="0" w:before="0" w:line="240" w:lineRule="auto"/>
        <w:ind w:left="851" w:right="0" w:hanging="425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zapewnienia osobie korzystającej z usługi właściwego standardu pomieszczeń, w których jest realizowana rekrutacja, w tym przystosowania tych pomieszczeń do potrzeb osoby z niepełnosprawnościami;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  <w:tab w:val="left" w:leader="none" w:pos="426"/>
        </w:tabs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Operator ma prawo żądać od osoby korzystającej z usługi zwrotu w odpowiednim zakresie kosztów związanych z udziałem w projekcie tej osoby, wraz z odsetkami, jeżeli w trakcie realizacji projektu lub po jego zakończeniu okaże się, że ta osoba nie spełniała warunków udziału w projekcie lub podała nieprawdziwe dane w dokumentach rekrutacyjnych, w tym w oświadczeniach, albo, jeśli zostały zidentyfikowane informacje lub okoliczności (np. w trakcie kontroli) wskazujące na brak spełniania przez tę osobę warunków do otrzymania poszczególnych form wsparcia w ramach umowy.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  <w:tab w:val="left" w:leader="none" w:pos="426"/>
        </w:tabs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Operator ma prawo żądać od osoby korzystającej z usługi, na każdym etapie uczestnictwa w projekcie dodatkowych dokumentów związanych z udziałem w projekcie, poświadczających złożone przez tą osobę oświadczenia.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  <w:tab w:val="left" w:leader="none" w:pos="426"/>
        </w:tabs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Operator ma prawo do rozwiązania lub zmiany umowy na warunkach opisanych w § 10 i 11.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  <w:tab w:val="left" w:leader="none" w:pos="284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0" w:lin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§ 4.</w:t>
      </w:r>
    </w:p>
    <w:p w:rsidR="00000000" w:rsidDel="00000000" w:rsidP="00000000" w:rsidRDefault="00000000" w:rsidRPr="00000000" w14:paraId="00000069">
      <w:pPr>
        <w:spacing w:after="120" w:line="240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Prawa i obowiązki osoby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korzystającej z usługi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numPr>
          <w:ilvl w:val="3"/>
          <w:numId w:val="2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Osoba uczestnicząca w projekcie oświadcza, że na dzień podpisania umowy spełnia następujące kryteria warunkujące udział w projekcie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10"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0" w:line="240" w:lineRule="auto"/>
        <w:ind w:left="851" w:right="0" w:hanging="425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 własnej inicjatywy chce podnosić swoje umiejętności lub kompetencje albo nabyć kwalifikacje;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0" w:line="240" w:lineRule="auto"/>
        <w:ind w:left="851" w:right="0" w:hanging="425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jest osobą, która stale zamieszkuje lub pracuje na obszarze realizacji projektu;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0" w:line="240" w:lineRule="auto"/>
        <w:ind w:left="851" w:right="0" w:hanging="425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nie jest przedsiębiorcą w rozumieniu art. 4 ust. 1-2 ustawy Prawo przedsiębiorców;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0" w:line="240" w:lineRule="auto"/>
        <w:ind w:left="851" w:right="0" w:hanging="425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nie jest pracownikiem Operatora;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0" w:line="240" w:lineRule="auto"/>
        <w:ind w:left="851" w:right="0" w:hanging="425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jest osobą pracującą w górnictwie lub branży okołogórniczej, w tym osobą, która opuściła którąś z tych branż nie wcześniej niż 1.01.2021 r.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11"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0" w:line="240" w:lineRule="auto"/>
        <w:ind w:left="851" w:right="0" w:hanging="425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przynależy do grupy osób w niekorzystnej sytuacji: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numPr>
          <w:ilvl w:val="0"/>
          <w:numId w:val="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276" w:right="0" w:hanging="425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osoba w wieku co najmniej 55 lat;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numPr>
          <w:ilvl w:val="0"/>
          <w:numId w:val="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276" w:right="0" w:hanging="425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osoba bezrobotna;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numPr>
          <w:ilvl w:val="0"/>
          <w:numId w:val="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276" w:right="0" w:hanging="425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osoba z niepełnosprawnością;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numPr>
          <w:ilvl w:val="0"/>
          <w:numId w:val="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276" w:right="0" w:hanging="425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osoba w kryzysie bezdomności lub dotknięta wykluczeniem z dostępu do mieszkań;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numPr>
          <w:ilvl w:val="0"/>
          <w:numId w:val="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276" w:right="0" w:hanging="425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osoba należąca do mniejszości, w tym społeczności marginalizowanych, takich jak np. Romowie;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numPr>
          <w:ilvl w:val="0"/>
          <w:numId w:val="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76" w:right="0" w:hanging="425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osoba z wykształceniem co najwyżej ponadgimnazjalnym.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numPr>
          <w:ilvl w:val="0"/>
          <w:numId w:val="3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Osoba korzystająca z usługi jest zobowiązana w szczególności do: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numPr>
          <w:ilvl w:val="0"/>
          <w:numId w:val="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  <w:tab w:val="left" w:leader="none" w:pos="851"/>
        </w:tabs>
        <w:spacing w:after="0" w:before="0" w:line="240" w:lineRule="auto"/>
        <w:ind w:left="851" w:right="0" w:hanging="425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przestrzegania przepisów prawa powszechnego;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numPr>
          <w:ilvl w:val="0"/>
          <w:numId w:val="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  <w:tab w:val="left" w:leader="none" w:pos="851"/>
        </w:tabs>
        <w:spacing w:after="0" w:before="0" w:line="240" w:lineRule="auto"/>
        <w:ind w:left="851" w:right="0" w:hanging="425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aktywnego udziału we wszystkich formach wsparcia, na które zostanie skierowana przez Operatora;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numPr>
          <w:ilvl w:val="0"/>
          <w:numId w:val="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  <w:tab w:val="left" w:leader="none" w:pos="851"/>
        </w:tabs>
        <w:spacing w:after="0" w:before="0" w:line="240" w:lineRule="auto"/>
        <w:ind w:left="851" w:right="0" w:hanging="425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stosowania się do zaleceń personelu projektu, o ile nie są sprzeczne z niniejszą umową, przepisami prawa oraz zasadami współżycia społecznego;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numPr>
          <w:ilvl w:val="0"/>
          <w:numId w:val="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  <w:tab w:val="left" w:leader="none" w:pos="851"/>
        </w:tabs>
        <w:spacing w:after="0" w:before="0" w:line="240" w:lineRule="auto"/>
        <w:ind w:left="851" w:right="0" w:hanging="425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posługiwania się nadanym przez Operatora indywidualnym numerem zgłoszeniowym każdorazowo w prowadzonej korespondencji z Operatorem;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numPr>
          <w:ilvl w:val="0"/>
          <w:numId w:val="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  <w:tab w:val="left" w:leader="none" w:pos="851"/>
        </w:tabs>
        <w:spacing w:after="0" w:before="0" w:line="240" w:lineRule="auto"/>
        <w:ind w:left="851" w:right="0" w:hanging="425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wypełniania niezbędnych dokumentów związanych z udziałem w projekcie, udostępnionych przez Operatora oraz upoważnione do tego instytucje, tj. w szczególności: ankiet ewaluacyjnych i dokumentów niezbędnych do określenia poziomu wiedzy, kompetencji, motywacji i predyspozycji (w zależności od specyfiki form wsparcia);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numPr>
          <w:ilvl w:val="0"/>
          <w:numId w:val="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  <w:tab w:val="left" w:leader="none" w:pos="851"/>
        </w:tabs>
        <w:spacing w:after="0" w:before="0" w:line="240" w:lineRule="auto"/>
        <w:ind w:left="851" w:right="0" w:hanging="425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uczestnictwa w wywiadach i ankietach prowadzonych w ramach badań ewaluacyjnych, analiz i ekspertyz;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numPr>
          <w:ilvl w:val="0"/>
          <w:numId w:val="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  <w:tab w:val="left" w:leader="none" w:pos="851"/>
        </w:tabs>
        <w:spacing w:after="0" w:before="0" w:line="240" w:lineRule="auto"/>
        <w:ind w:left="851" w:right="0" w:hanging="425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przedstawienia – na prośbę Operatora, na każdym etapie uczestnictwa w projekcie dodatkowych dokumentów związanych z udziałem w projekcie, poświadczających złożone przez nią oświadczenia;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numPr>
          <w:ilvl w:val="0"/>
          <w:numId w:val="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  <w:tab w:val="left" w:leader="none" w:pos="426"/>
          <w:tab w:val="left" w:leader="none" w:pos="851"/>
          <w:tab w:val="left" w:leader="none" w:pos="1326"/>
        </w:tabs>
        <w:spacing w:after="0" w:before="0" w:line="240" w:lineRule="auto"/>
        <w:ind w:left="851" w:right="0" w:hanging="425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dostarczenia w terminie 20 dni od zakończenia udziału w projekcie wszystkich dokumentów i informacji wskazanych przez Operatora, dotyczących udzielonego wsparcia.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numPr>
          <w:ilvl w:val="0"/>
          <w:numId w:val="3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  <w:tab w:val="left" w:leader="none" w:pos="426"/>
        </w:tabs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Osoba korzystająca z usługi ma prawo do rozwiązania umowy na warunkach opisanych w § 11 ust. 4.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numPr>
          <w:ilvl w:val="0"/>
          <w:numId w:val="3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  <w:tab w:val="left" w:leader="none" w:pos="426"/>
        </w:tabs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 przypadku rozwiązania umowy przed skorzystaniem ze wsparcia, osoba korzystająca z usługi ma możliwość przystąpić do projektu ponownie, ponownie składając fiszkę zgłoszeniową w kolejnym naborze.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0" w:line="240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§ 5.</w:t>
      </w:r>
    </w:p>
    <w:p w:rsidR="00000000" w:rsidDel="00000000" w:rsidP="00000000" w:rsidRDefault="00000000" w:rsidRPr="00000000" w14:paraId="00000084">
      <w:pPr>
        <w:spacing w:after="120" w:line="240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Koszty kwalifikowalne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Kwalifikowanie kosztu usługi rozwojowej jest możliwe w przypadku, gdy łącznie zostały spełnione poniższe warunki: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hanging="425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zgłoszenie na usługę zostało zrealizowane za pośrednictwem BUR z wykorzystaniem odpowiedniego ID wsparcia;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hanging="426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4dl39v489fc7" w:id="7"/>
      <w:bookmarkEnd w:id="7"/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dokonano zapisu na usługę w BUR z wykorzystaniem nadanego ID wsparcia;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hanging="425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wybrana, za pośrednictwem BUR, usługa musi mieć zaznaczoną opcję „możliwość dofinansowania”;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hanging="425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usługa została zrealizowana zgodnie z założeniami, tj. zgodnie z programem, formą, na warunkach i w wymiarze czasowym określonym w karcie usługi a osoba korzystająca z usługi zdobyła zielone kompetencje/kwalifikacje;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hanging="425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usługa została realizowana na terenie województwa śląskiego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12"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8B">
      <w:pPr>
        <w:numPr>
          <w:ilvl w:val="1"/>
          <w:numId w:val="10"/>
        </w:numPr>
        <w:spacing w:after="0" w:line="240" w:lineRule="auto"/>
        <w:ind w:left="851" w:hanging="425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usługa zakończyła się wypełnieniem ankiety oceniającej tę usługę, zgodnie z systemem oceny usług rozwojowych, oraz jej dostarczeniem przez osobę korzystającą z usługi do Operatora;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hanging="426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 trakcie kontroli usługi (jeżeli była) nie wykazano nieprawidłowości/uchybień, które mogą świadczyć o niekwalifikowalności usługi;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numPr>
          <w:ilvl w:val="1"/>
          <w:numId w:val="10"/>
        </w:numPr>
        <w:spacing w:after="0" w:line="240" w:lineRule="auto"/>
        <w:ind w:left="851" w:hanging="425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wydatek został rzeczywiście poniesiony na zakup usługi;</w:t>
      </w:r>
    </w:p>
    <w:p w:rsidR="00000000" w:rsidDel="00000000" w:rsidP="00000000" w:rsidRDefault="00000000" w:rsidRPr="00000000" w14:paraId="0000008E">
      <w:pPr>
        <w:numPr>
          <w:ilvl w:val="1"/>
          <w:numId w:val="10"/>
        </w:numPr>
        <w:spacing w:after="0" w:line="240" w:lineRule="auto"/>
        <w:ind w:left="851" w:hanging="425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wydatek został prawidłowo udokumentowany;</w:t>
      </w:r>
    </w:p>
    <w:p w:rsidR="00000000" w:rsidDel="00000000" w:rsidP="00000000" w:rsidRDefault="00000000" w:rsidRPr="00000000" w14:paraId="0000008F">
      <w:pPr>
        <w:numPr>
          <w:ilvl w:val="1"/>
          <w:numId w:val="10"/>
        </w:numPr>
        <w:spacing w:after="0" w:line="240" w:lineRule="auto"/>
        <w:ind w:left="851" w:hanging="425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 BUR zostały uzupełnione wszystkie pola dla profilu użytkownika w zakładce „Moje dane”;</w:t>
      </w:r>
    </w:p>
    <w:p w:rsidR="00000000" w:rsidDel="00000000" w:rsidP="00000000" w:rsidRDefault="00000000" w:rsidRPr="00000000" w14:paraId="00000090">
      <w:pPr>
        <w:numPr>
          <w:ilvl w:val="1"/>
          <w:numId w:val="10"/>
        </w:numPr>
        <w:spacing w:after="0" w:line="240" w:lineRule="auto"/>
        <w:ind w:left="851" w:hanging="425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minimalny poziom frekwencji na usłudze rozwojowej wyniósł nie mniej niż 80%.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 wydatku poniesionego przez osobę korzystającą z usługi rozwojowej nie mają zastosowania Wytyczne dotyczące kwalifikowalności wydatków na lata 2021-2027, w szczególności wymóg stosowania zasady konkurencyjności w procesie wyboru usługi za pośrednictwem BUR.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4qy00qunaquj" w:id="8"/>
      <w:bookmarkEnd w:id="8"/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Podatek VAT jest kosztem kwalifikowalnym, zgodnie z ceną ujętą w karcie usługi. Uwzględnienie VAT w cenie usługi jest uzależnione od sytuacji prawnej dostawcy usługi. Obowiązek prawidłowego oszacowania VAT spoczywa na dostawcy usługi.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 do zasady, cena usługi rozwojowej wskazana w dokumencie księgowym nie może być wyższa od kwoty wskazanej w karcie usługi. Niemniej jednak, jeśli sytuacja taka miałaby miejsce (w przypadku nadwyżki kwoty w związku z zastosowaniem systemu płatności ratalnych za studia podyplomowe), koszt stanowiący nadwyżkę (różnica kwoty wskazanej w dokumencie księgowym a kwoty wskazanej w karcie usługi) pokrywany jest w całości przez osobę uczestniczącą w projekcie. W przypadku gdy cena usługi rozwojowej jest niższa od kwoty wskazanej w karcie usługi, Operator dokonuje zapłaty w tej niższej kwocie, w terminie zgodnym z § 7 ust. 10.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 przypadku gdy wartość usługi rozwojowej przekracza dopuszczalny poziom dofinansowania, koszt usługi w zakresie niedofinansowanym w ramach projektu ponosi osoba korzystająca z usługi.</w:t>
      </w:r>
    </w:p>
    <w:p w:rsidR="00000000" w:rsidDel="00000000" w:rsidP="00000000" w:rsidRDefault="00000000" w:rsidRPr="00000000" w14:paraId="00000095">
      <w:pPr>
        <w:spacing w:after="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after="0" w:line="240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§ 6.</w:t>
      </w:r>
    </w:p>
    <w:p w:rsidR="00000000" w:rsidDel="00000000" w:rsidP="00000000" w:rsidRDefault="00000000" w:rsidRPr="00000000" w14:paraId="00000097">
      <w:pPr>
        <w:spacing w:after="120" w:line="240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Koszty niekwalifikowalne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Koszt usługi rozwojowej poniesiony przez osobę, która przerwała udział w projekcie przed zakończeniem tej usługi, nie kwalifikuje się do dofinansowania przez Operatora.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 ramach projektu nie jest możliwe kwalifikowanie kosztów usługi rozwojowej, która: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hanging="426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jest świadczona przez podmiot na rzecz swoich pracowników;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hanging="426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jest świadczona przez podmiot, z którym osoba korzystająca z usługi jest powiązana kapitałowo lub osobowo, przy czym przez powiązania kapitałowe lub osobowe rozumie się w szczególności:</w:t>
      </w:r>
    </w:p>
    <w:p w:rsidR="00000000" w:rsidDel="00000000" w:rsidP="00000000" w:rsidRDefault="00000000" w:rsidRPr="00000000" w14:paraId="0000009C">
      <w:pPr>
        <w:numPr>
          <w:ilvl w:val="1"/>
          <w:numId w:val="9"/>
        </w:numPr>
        <w:spacing w:after="0" w:line="240" w:lineRule="auto"/>
        <w:ind w:left="1276" w:hanging="425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udział w spółce jako wspólnik spółki cywilnej lub spółki osobowej;</w:t>
      </w:r>
    </w:p>
    <w:p w:rsidR="00000000" w:rsidDel="00000000" w:rsidP="00000000" w:rsidRDefault="00000000" w:rsidRPr="00000000" w14:paraId="0000009D">
      <w:pPr>
        <w:numPr>
          <w:ilvl w:val="1"/>
          <w:numId w:val="9"/>
        </w:numPr>
        <w:spacing w:after="0" w:line="240" w:lineRule="auto"/>
        <w:ind w:left="1276" w:hanging="425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posiadanie co najmniej 10% udziałów lub akcji spółki, o ile niższy próg nie wynika z przepisów prawa;</w:t>
      </w:r>
    </w:p>
    <w:p w:rsidR="00000000" w:rsidDel="00000000" w:rsidP="00000000" w:rsidRDefault="00000000" w:rsidRPr="00000000" w14:paraId="0000009E">
      <w:pPr>
        <w:numPr>
          <w:ilvl w:val="1"/>
          <w:numId w:val="9"/>
        </w:numPr>
        <w:spacing w:after="0" w:line="240" w:lineRule="auto"/>
        <w:ind w:left="1276" w:hanging="425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pełnienie funkcji członka organu nadzorczego lub zarządzającego, prokurenta lub pełnomocnika;</w:t>
      </w:r>
    </w:p>
    <w:p w:rsidR="00000000" w:rsidDel="00000000" w:rsidP="00000000" w:rsidRDefault="00000000" w:rsidRPr="00000000" w14:paraId="0000009F">
      <w:pPr>
        <w:numPr>
          <w:ilvl w:val="1"/>
          <w:numId w:val="9"/>
        </w:numPr>
        <w:spacing w:after="0" w:line="240" w:lineRule="auto"/>
        <w:ind w:left="1276" w:hanging="425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pozostawanie w stosunku prawnym lub faktycznym, który może budzić uzasadnione wątpliwości co do bezstronności w wyborze dostawcy usługi, w szczególności pozostawanie w związku małżeńskim, w stosunku pokrewieństwa lub powinowactwa w linii prostej, pokrewieństwa lub powinowactwa drugiego stopnia w linii bocznej lub w stosunku przysposobienia, opieki lub kurateli;</w:t>
      </w:r>
    </w:p>
    <w:p w:rsidR="00000000" w:rsidDel="00000000" w:rsidP="00000000" w:rsidRDefault="00000000" w:rsidRPr="00000000" w14:paraId="000000A0">
      <w:pPr>
        <w:numPr>
          <w:ilvl w:val="0"/>
          <w:numId w:val="20"/>
        </w:numPr>
        <w:spacing w:after="0" w:line="240" w:lineRule="auto"/>
        <w:ind w:left="851" w:hanging="425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jest świadczona przez podmiot pełniący funkcję Operatora lub partnera w projekcie albo przez podmiot powiązany z Operatorem lub partnerem kapitałowo lub osobowo</w:t>
      </w:r>
      <w:r w:rsidDel="00000000" w:rsidR="00000000" w:rsidRPr="00000000">
        <w:rPr>
          <w:rFonts w:ascii="Calibri" w:cs="Calibri" w:eastAsia="Calibri" w:hAnsi="Calibri"/>
          <w:vertAlign w:val="superscript"/>
        </w:rPr>
        <w:footnoteReference w:customMarkFollows="0" w:id="13"/>
      </w:r>
      <w:r w:rsidDel="00000000" w:rsidR="00000000" w:rsidRPr="00000000">
        <w:rPr>
          <w:rFonts w:ascii="Calibri" w:cs="Calibri" w:eastAsia="Calibri" w:hAnsi="Calibri"/>
          <w:rtl w:val="0"/>
        </w:rPr>
        <w:t xml:space="preserve">;</w:t>
      </w:r>
    </w:p>
    <w:p w:rsidR="00000000" w:rsidDel="00000000" w:rsidP="00000000" w:rsidRDefault="00000000" w:rsidRPr="00000000" w14:paraId="000000A1">
      <w:pPr>
        <w:numPr>
          <w:ilvl w:val="0"/>
          <w:numId w:val="20"/>
        </w:numPr>
        <w:spacing w:after="0" w:line="240" w:lineRule="auto"/>
        <w:ind w:left="851" w:hanging="425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jest świadczona przez podmiot pełniący funkcję Operatora lub partnera Operatora PSF w którymkolwiek regionalnym programie lub w programie Fundusze Europejskie na Rozwój Społeczny;</w:t>
      </w:r>
    </w:p>
    <w:p w:rsidR="00000000" w:rsidDel="00000000" w:rsidP="00000000" w:rsidRDefault="00000000" w:rsidRPr="00000000" w14:paraId="000000A2">
      <w:pPr>
        <w:numPr>
          <w:ilvl w:val="0"/>
          <w:numId w:val="20"/>
        </w:numPr>
        <w:spacing w:after="0" w:line="240" w:lineRule="auto"/>
        <w:ind w:left="851" w:hanging="425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obejmuje koszty niezwiązane bezpośrednio z usługą rozwojową, w szczególności koszty środków trwałych przekazywanych osobom korzystającym z usługi, koszty dojazdu i zakwaterowania, z wyłączeniem kosztów związanych z pokryciem specyficznych potrzeb osób z niepełnosprawnościami, które mogą zostać sfinansowane w ramach mechanizmu racjonalnych usprawnień, o którym mowa w Wytycznych dotyczących realizacji zasad równościowych w ramach funduszy unijnych na lata 2021-2027.</w:t>
      </w:r>
    </w:p>
    <w:p w:rsidR="00000000" w:rsidDel="00000000" w:rsidP="00000000" w:rsidRDefault="00000000" w:rsidRPr="00000000" w14:paraId="000000A3">
      <w:pPr>
        <w:spacing w:after="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after="0" w:line="240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§ 7.</w:t>
      </w:r>
    </w:p>
    <w:p w:rsidR="00000000" w:rsidDel="00000000" w:rsidP="00000000" w:rsidRDefault="00000000" w:rsidRPr="00000000" w14:paraId="000000A5">
      <w:pPr>
        <w:spacing w:after="120" w:line="240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Rozliczenie wydatków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Operator rozlicza usługę rozwojową na podstawie złożonego przez osobę korzystającą z usługi wniosku o rozliczenie usługi rozwojowej wraz z załącznikami (o których mowa poniżej)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14"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" w:right="0" w:hanging="425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Przed uiszczeniem płatności Operator weryfikuje kompletność złożonych dokumentów rozliczeniowych, do których należy wniosek o rozliczenie usługi rozwojowej wraz z załącznikami: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5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kopią faktury lub rachunku lub innego równoważnego dowodu księgowego wystawionego zgodnie z przepisami ustawy z dnia 29 września 1994 r. o rachunkowości; dokument powinien zawierać dane osoby korzystającej z usługi, liczbę godzin usługi rozwojowej opłaconej ze środków publicznych oraz identyfikatory nadane w systemie informatycznym, tj. ID wsparcia, nazwę/tytuł usługi i numer usługi w BUR;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numPr>
          <w:ilvl w:val="0"/>
          <w:numId w:val="16"/>
        </w:numPr>
        <w:spacing w:after="0" w:line="240" w:lineRule="auto"/>
        <w:ind w:left="851" w:hanging="426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potwierdzeniem zapłaty za udział w usłudze rozwojowej;</w:t>
      </w:r>
    </w:p>
    <w:p w:rsidR="00000000" w:rsidDel="00000000" w:rsidP="00000000" w:rsidRDefault="00000000" w:rsidRPr="00000000" w14:paraId="000000AA">
      <w:pPr>
        <w:numPr>
          <w:ilvl w:val="0"/>
          <w:numId w:val="16"/>
        </w:numPr>
        <w:spacing w:after="0" w:line="240" w:lineRule="auto"/>
        <w:ind w:left="851" w:hanging="426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ankietą oceniającą usługę rozwojową wypełnioną przez osobę korzystającą z usługi, wygenerowanej z BUR;</w:t>
      </w:r>
    </w:p>
    <w:p w:rsidR="00000000" w:rsidDel="00000000" w:rsidP="00000000" w:rsidRDefault="00000000" w:rsidRPr="00000000" w14:paraId="000000AB">
      <w:pPr>
        <w:numPr>
          <w:ilvl w:val="0"/>
          <w:numId w:val="16"/>
        </w:numPr>
        <w:spacing w:after="0" w:line="240" w:lineRule="auto"/>
        <w:ind w:left="851" w:hanging="426"/>
        <w:jc w:val="both"/>
        <w:rPr>
          <w:rFonts w:ascii="Calibri" w:cs="Calibri" w:eastAsia="Calibri" w:hAnsi="Calibri"/>
        </w:rPr>
      </w:pPr>
      <w:bookmarkStart w:colFirst="0" w:colLast="0" w:name="_heading=h.71fwbp7de5dr" w:id="9"/>
      <w:bookmarkEnd w:id="9"/>
      <w:r w:rsidDel="00000000" w:rsidR="00000000" w:rsidRPr="00000000">
        <w:rPr>
          <w:rFonts w:ascii="Calibri" w:cs="Calibri" w:eastAsia="Calibri" w:hAnsi="Calibri"/>
          <w:rtl w:val="0"/>
        </w:rPr>
        <w:t xml:space="preserve">kopią świadectwa ukończenia studiów podyplomowych oraz kopią dokumentu potwierdzającego ukończenie usługi rozwojowej (zgodnie ze wzorem stanowiącym załącznik nr 12 do regulaminu naboru); dokument powinien zawierać tytuł usługi rozwojowej oraz identyfikatory nadane w systemie teleinformatycznym, dane osoby korzystającej z usługi (imię, nazwisko oraz nr PESEL</w:t>
      </w:r>
      <w:r w:rsidDel="00000000" w:rsidR="00000000" w:rsidRPr="00000000">
        <w:rPr>
          <w:rFonts w:ascii="Calibri" w:cs="Calibri" w:eastAsia="Calibri" w:hAnsi="Calibri"/>
          <w:vertAlign w:val="superscript"/>
        </w:rPr>
        <w:footnoteReference w:customMarkFollows="0" w:id="15"/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datę świadczenia usługi rozwojowej, liczbę godzin usługi rozwojowej, informację na temat frekwencji na usłudze, informację na temat efektów uczenia się, do których uzyskania usługobiorca przygotowywał się w procesie uczenia się, lub innych osiągniętych efektów tych usług, kod kwalifikacji w Zintegrowanym Rejestrze Kwalifikacji, jeżeli usługa miała na celu przygotowanie do uzyskania kwalifikacji, o której mowa w art. 2 pkt 8 ustawy z dnia 22 grudnia 2015 r. o Zintegrowanym Systemie Kwalifikacji, w sposób określony w tej ustawie oraz informację czy usługa doprowadziła do uzyskania zielonych kwalifikacji/kompetencji;</w:t>
      </w:r>
    </w:p>
    <w:p w:rsidR="00000000" w:rsidDel="00000000" w:rsidP="00000000" w:rsidRDefault="00000000" w:rsidRPr="00000000" w14:paraId="000000AC">
      <w:pPr>
        <w:numPr>
          <w:ilvl w:val="0"/>
          <w:numId w:val="16"/>
        </w:numPr>
        <w:spacing w:after="0" w:line="240" w:lineRule="auto"/>
        <w:ind w:left="851" w:hanging="426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kopiami dokumentów wskazanych w protokole z wizyty monitoringowej usług rozwojowych, w odniesieniu do których stwierdzono uchybienia podczas wizyty monitoringowej.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" w:right="0" w:hanging="425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sej01395asf2" w:id="10"/>
      <w:bookmarkEnd w:id="10"/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Wniosek o rozliczenie usługi rozwojowej wraz załącznikami można złożyć elektronicznie poprzez opatrzenie go kwalifikowanym podpisem elektronicznym lub podpisem osobistym (e-dowód)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16"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lub w formie papierowej (opatrzony własnoręcznym podpisem). Kopie dokumentów, o których mowa w ust. 2, muszą być potwierdzone przez osobę korzystającą z usługi za zgodność z oryginałem.</w:t>
      </w:r>
    </w:p>
    <w:p w:rsidR="00000000" w:rsidDel="00000000" w:rsidP="00000000" w:rsidRDefault="00000000" w:rsidRPr="00000000" w14:paraId="000000AE">
      <w:pPr>
        <w:numPr>
          <w:ilvl w:val="0"/>
          <w:numId w:val="8"/>
        </w:numPr>
        <w:spacing w:after="0" w:line="240" w:lineRule="auto"/>
        <w:ind w:left="426" w:hanging="425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Dokumenty rozliczeniowe powinny zostać złożone do Operatora odrębnie dla każdej z usług objętych niniejszą umową w ciągu 30 dni, licząc od dnia następnego po dniu zakończenia usług, o których mowa w § 2 ust 3.</w:t>
      </w:r>
    </w:p>
    <w:p w:rsidR="00000000" w:rsidDel="00000000" w:rsidP="00000000" w:rsidRDefault="00000000" w:rsidRPr="00000000" w14:paraId="000000AF">
      <w:pPr>
        <w:numPr>
          <w:ilvl w:val="0"/>
          <w:numId w:val="8"/>
        </w:numPr>
        <w:spacing w:after="0" w:line="240" w:lineRule="auto"/>
        <w:ind w:left="426" w:hanging="425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Operator weryfikuje i zatwierdza dokumenty rozliczeniowe, o których mowa w ust. 2, w terminie nie dłuższym niż 20 dni licząc od dnia następującego po dniu złożenia przez osobę korzystającą z usługi tych dokumentów. Bieg terminu na weryfikację i zatwierdzenie dokumentów rozliczeniowych zostaje zawieszony w przypadku potrzeby uzyskania dodatkowych wyjaśnień, uzupełnienia lub korekt w zakresie dokumentów rozliczeniowych, lub potrzeby wyjaśnienia kwalifikowalności wydatku. Bieg terminu ulega zawieszeniu z chwilą wystąpienia Operatora do osoby korzystającej z usługi, która jest zobowiązana do uzupełnienia dokumentów lub złożenia wyjaśnień, celem dalszego procedowania z dokumentami rozliczeniowymi. Z chwilą przekazania uzupełnienia, bieg terminu zostaje odwieszony, Operator dysponuje jedynie tą częścią terminu, której nie wykorzystał do momentu zawieszenia biegu terminu.</w:t>
      </w:r>
    </w:p>
    <w:p w:rsidR="00000000" w:rsidDel="00000000" w:rsidP="00000000" w:rsidRDefault="00000000" w:rsidRPr="00000000" w14:paraId="000000B0">
      <w:pPr>
        <w:numPr>
          <w:ilvl w:val="0"/>
          <w:numId w:val="8"/>
        </w:numPr>
        <w:spacing w:after="0" w:line="240" w:lineRule="auto"/>
        <w:ind w:left="426" w:hanging="425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 przypadku stwierdzenia braków formalnych lub konieczności złożenia wyjaśnień do złożonych przez osobę uczestniczącą w projekcie dokumentów rozliczeniowych, osoba ta jest wezwana do ich uzupełnienia lub złożenia dodatkowych wyjaśnień za pośrednictwem poczty elektronicznej, w wyznaczonym przez Operatora terminie z zastrzeżeniem, że nie może być on krótszy niż 3 dni. Termin liczy się od dnia następującego po dniu wysłania wezwania.</w:t>
      </w:r>
    </w:p>
    <w:p w:rsidR="00000000" w:rsidDel="00000000" w:rsidP="00000000" w:rsidRDefault="00000000" w:rsidRPr="00000000" w14:paraId="000000B1">
      <w:pPr>
        <w:numPr>
          <w:ilvl w:val="0"/>
          <w:numId w:val="8"/>
        </w:numPr>
        <w:spacing w:after="0" w:line="240" w:lineRule="auto"/>
        <w:ind w:left="426" w:hanging="425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Operator co do zasady jednokrotnie wzywa osobę korzystającą z usługi do uzupełnienia braków formalnych lub złożenia wyjaśnień do złożonych przez tę osobę dokumentów rozliczeniowych, co oznacza, że Operator powinien wezwać w sposób kompleksowy, tj. w wezwaniu wskazać wszystkie błędy, braki i wady w złożonych dokumentach. Operator może wezwać po raz kolejny w zakresie kwestii wymagających dalszego wyjaśnienia, po uzupełnieniu dokumentów.</w:t>
      </w:r>
    </w:p>
    <w:p w:rsidR="00000000" w:rsidDel="00000000" w:rsidP="00000000" w:rsidRDefault="00000000" w:rsidRPr="00000000" w14:paraId="000000B2">
      <w:pPr>
        <w:numPr>
          <w:ilvl w:val="0"/>
          <w:numId w:val="8"/>
        </w:numPr>
        <w:spacing w:after="0" w:line="240" w:lineRule="auto"/>
        <w:ind w:left="426" w:hanging="425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Rozliczenie usługi rozwojowej następuje na podstawie i na warunkach określonych w umowie wsparcia oraz w karcie usługi.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a9hbxi5oo60t" w:id="11"/>
      <w:bookmarkEnd w:id="11"/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Operator nie dokona rozliczenia usługi, która prowadzi do zdobycia kwalifikacji, w przypadku braku uzyskania kwalifikacji opisanych w karcie usługi przez osobę korzystającą z usługi. W przypadku zawarcia umowy wsparcia obejmującej kilka usług zasady rozliczania usług wyglądają następująco: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numPr>
          <w:ilvl w:val="0"/>
          <w:numId w:val="2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hanging="425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jeżeli osoba korzystająca z usługi nie wskazała w fiszce, że usługa będzie prowadziła do nabycia kwalifikacji (za co nie otrzymała dodatkowych punktów na etapie rekrutacji), Operator rozlicza usługi w kolejności składania poprawnych wniosków o rozliczenie;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1"/>
        <w:numPr>
          <w:ilvl w:val="0"/>
          <w:numId w:val="2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hanging="425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jeżeli osoba korzystająca z usługi wskazała w fiszce, że usługa będzie prowadziła do nabycia kwalifikacji (za co otrzymała dodatkowe punkty na etapie rekrutacji), Operator w pierwszej kolejności musi rozliczyć tę usługę, która  prowadzi do nabycia kwalifikacji (pod warunkiem ich uzyskania przez osobę korzystającą z usługi). W przypadku braku możliwość rozliczenia przynajmniej jednej usługi prowadzącej do nabycia kwalifikacji, z uwagi na nieuzyskanie kwalifikacji (tj. brak formalnego potwierdzenia ich uzyskania), Operator nie dokona również płatności za inne usługi.</w:t>
      </w:r>
    </w:p>
    <w:p w:rsidR="00000000" w:rsidDel="00000000" w:rsidP="00000000" w:rsidRDefault="00000000" w:rsidRPr="00000000" w14:paraId="000000B6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 zatwierdzeniu otrzymanych kompletnych dokumentów rozliczeniowych, Operator zwraca osobie korzystającej z usługi część kosztu usługi wynikającą z rachunku/faktury, określoną w umowie jako dofinansowanie, w terminie nie dłuższym niż 5 dni licząc od dnia następnego po dniu zatwierdzenia tych dokumentów, na konto wskazane przez osobę korzystającą z usługi w Załączniku nr 11 do regulaminu naboru, czyli wniosku o rozliczenie usługi (pod warunkiem dostępności środków na rachunku bankowym Operatora).</w:t>
      </w:r>
    </w:p>
    <w:p w:rsidR="00000000" w:rsidDel="00000000" w:rsidP="00000000" w:rsidRDefault="00000000" w:rsidRPr="00000000" w14:paraId="000000B7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Wartość łącznych płatności wynikających z wniosków o rozliczenie usług rozwojowych nie może przekroczyć wartości określonej w § 2 ust. 1 umowy wsparcia.</w:t>
      </w:r>
    </w:p>
    <w:p w:rsidR="00000000" w:rsidDel="00000000" w:rsidP="00000000" w:rsidRDefault="00000000" w:rsidRPr="00000000" w14:paraId="000000B8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Operator nie dokonuje płatności na rzecz osoby korzystającej z usługi w przypadku:</w:t>
      </w:r>
    </w:p>
    <w:p w:rsidR="00000000" w:rsidDel="00000000" w:rsidP="00000000" w:rsidRDefault="00000000" w:rsidRPr="00000000" w14:paraId="000000B9">
      <w:pPr>
        <w:numPr>
          <w:ilvl w:val="0"/>
          <w:numId w:val="17"/>
        </w:numPr>
        <w:spacing w:after="0" w:line="240" w:lineRule="auto"/>
        <w:ind w:left="851" w:hanging="426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niezłożenia przez osobę korzystającą z usługi, w wyznaczonym przez Operatora terminie, wymaganych wyjaśnień lub nieusunięcia braków w dokumentacji rozliczeniowej;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hanging="426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mniejszej niż 80% frekwencji na usłudze rozwojowej;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numPr>
          <w:ilvl w:val="0"/>
          <w:numId w:val="17"/>
        </w:numPr>
        <w:spacing w:after="0" w:line="240" w:lineRule="auto"/>
        <w:ind w:left="851" w:hanging="426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niezłożenia przez osobę korzystającą z usługi, w wyznaczonym przez Operatora terminie, skorygowanej deklaracji wyboru usług rozwojowych albo niezłożenia wymaganych wyjaśnień lub nieusunięcia braków w złożonych dokumentach;</w:t>
      </w:r>
    </w:p>
    <w:p w:rsidR="00000000" w:rsidDel="00000000" w:rsidP="00000000" w:rsidRDefault="00000000" w:rsidRPr="00000000" w14:paraId="000000BC">
      <w:pPr>
        <w:numPr>
          <w:ilvl w:val="0"/>
          <w:numId w:val="17"/>
        </w:numPr>
        <w:spacing w:after="0" w:line="240" w:lineRule="auto"/>
        <w:ind w:left="851" w:hanging="426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niewypełnienia ankiety oceniającej usługę, o której mowa w ust. 2 pkt 3;</w:t>
      </w:r>
    </w:p>
    <w:p w:rsidR="00000000" w:rsidDel="00000000" w:rsidP="00000000" w:rsidRDefault="00000000" w:rsidRPr="00000000" w14:paraId="000000BD">
      <w:pPr>
        <w:numPr>
          <w:ilvl w:val="0"/>
          <w:numId w:val="17"/>
        </w:numPr>
        <w:spacing w:after="0" w:line="240" w:lineRule="auto"/>
        <w:ind w:left="851" w:hanging="426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utrudniania przez osobę korzystającą z usługi wykonywania czynności kontrolnych;</w:t>
      </w:r>
    </w:p>
    <w:p w:rsidR="00000000" w:rsidDel="00000000" w:rsidP="00000000" w:rsidRDefault="00000000" w:rsidRPr="00000000" w14:paraId="000000BE">
      <w:pPr>
        <w:numPr>
          <w:ilvl w:val="0"/>
          <w:numId w:val="17"/>
        </w:numPr>
        <w:spacing w:after="0" w:line="240" w:lineRule="auto"/>
        <w:ind w:left="851" w:hanging="426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niewykonania przez osobę korzystającą z usługi zaleceń pokontrolnych;</w:t>
      </w:r>
    </w:p>
    <w:p w:rsidR="00000000" w:rsidDel="00000000" w:rsidP="00000000" w:rsidRDefault="00000000" w:rsidRPr="00000000" w14:paraId="000000BF">
      <w:pPr>
        <w:numPr>
          <w:ilvl w:val="0"/>
          <w:numId w:val="17"/>
        </w:numPr>
        <w:spacing w:after="0" w:line="240" w:lineRule="auto"/>
        <w:ind w:left="851" w:hanging="426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gdy wizyta monitoringowa (jeżeli była) wykaże uchybienia, które będą podstawą do uznania usługi za niekwalifikowalną;</w:t>
      </w:r>
    </w:p>
    <w:p w:rsidR="00000000" w:rsidDel="00000000" w:rsidP="00000000" w:rsidRDefault="00000000" w:rsidRPr="00000000" w14:paraId="000000C0">
      <w:pPr>
        <w:numPr>
          <w:ilvl w:val="0"/>
          <w:numId w:val="17"/>
        </w:numPr>
        <w:spacing w:after="0" w:line="240" w:lineRule="auto"/>
        <w:ind w:left="851" w:hanging="426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gdy osoba korzystająca z usługi nie uzyska kwalifikacji opisanych w karcie usługi, z uwzględnieniem zapisów ust. 9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braku dokonania płatności, o której mowa w ust. 11, Operator zawiadamia, wraz ze wskazaniem przyczyny, osobę korzystającą z usługi za pośrednictwem poczty elektronicznej.</w:t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Uruchomienie płatności następuje po usunięciu lub wyjaśnieniu przyczyn wymienionych w ust. 11, w terminie określonym w ust. 9.</w:t>
      </w:r>
    </w:p>
    <w:p w:rsidR="00000000" w:rsidDel="00000000" w:rsidP="00000000" w:rsidRDefault="00000000" w:rsidRPr="00000000" w14:paraId="000000C3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 ramach projektu jest niedozwolone podwójne finansowanie wydatków, co oznacza w szczególności:</w:t>
      </w:r>
    </w:p>
    <w:p w:rsidR="00000000" w:rsidDel="00000000" w:rsidP="00000000" w:rsidRDefault="00000000" w:rsidRPr="00000000" w14:paraId="000000C4">
      <w:pPr>
        <w:numPr>
          <w:ilvl w:val="0"/>
          <w:numId w:val="13"/>
        </w:numPr>
        <w:spacing w:after="0" w:line="240" w:lineRule="auto"/>
        <w:ind w:left="851" w:hanging="425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całkowite lub częściowe, więcej niż jednokrotne poświadczenie, zrefundowanie lub rozliczenie tego samego wydatku w ramach dofinansowania lub wkładu własnego tego samego lub różnych projektów współfinansowanych ze środków europejskich lub/oraz dotacji z krajowych środków publicznych;</w:t>
      </w:r>
    </w:p>
    <w:p w:rsidR="00000000" w:rsidDel="00000000" w:rsidP="00000000" w:rsidRDefault="00000000" w:rsidRPr="00000000" w14:paraId="000000C5">
      <w:pPr>
        <w:numPr>
          <w:ilvl w:val="0"/>
          <w:numId w:val="13"/>
        </w:numPr>
        <w:spacing w:after="0" w:line="240" w:lineRule="auto"/>
        <w:ind w:left="851" w:hanging="425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otrzymanie na wydatki kwalifikowalne bezzwrotnej pomocy finansowej z kilku źródeł (krajowych, unijnych lub innych) w wysokości łącznie przekraczającej 100% wydatków kwalifikowalnych usługi rozwojowej.</w:t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§ 8.</w:t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Kontrola i monitoring</w:t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0"/>
        <w:numPr>
          <w:ilvl w:val="0"/>
          <w:numId w:val="3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Osoba korzystająca z usługi zobowiązuje się, w zakresie realizacji umowy, poddać kontroli przeprowadzanej przez Operatora, IP FESL-WUP lub inną instytucję uprawnioną do przeprowadzania kontroli na podstawie odrębnych przepisów lub upoważnienia oraz zobowiązuje się do przedstawiania na pisemne wezwanie Operatora wszelkich informacji i wyjaśnień związanych z realizacją usługi rozwojowej, w terminie określonym w wezwaniu.</w:t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1"/>
        <w:numPr>
          <w:ilvl w:val="0"/>
          <w:numId w:val="3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mkkt9i2hfsbc" w:id="12"/>
      <w:bookmarkEnd w:id="12"/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Osoba korzystająca z usługi zobowiązuje się do niezwłocznego, e-mailowego informowania Operatora o trudnościach w realizacji usługi oraz o harmonogramie realizacji usługi (w tym miejsca faktycznej realizacji usługi), jego zmianach, o ile harmonogram nie jest rozpisany w karcie usługi.</w:t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1"/>
        <w:numPr>
          <w:ilvl w:val="0"/>
          <w:numId w:val="3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Kontrola, o której mowa w ust. 1, może być przeprowadzona w okresie realizacji projektu.</w:t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0"/>
        <w:numPr>
          <w:ilvl w:val="0"/>
          <w:numId w:val="3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Kontrola jest prowadzona:</w:t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1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hanging="425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 dokumentach;</w:t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1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hanging="425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 miejscu realizacji usługi rozwojowej (wizyta monitoringowa);</w:t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1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hanging="425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 przypadku usług zdalnych wizyta monitoringowa odbywa się poprzez dołączenie Operatora do szkolenia (za pośrednictwem udostępnionego przez osobę korzystającą z usługi linku do spotkania) oraz na podstawie generowanego z danej platformy, przez właściwe oprogramowanie, raportu aktywności użytkowników.</w:t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0"/>
        <w:numPr>
          <w:ilvl w:val="0"/>
          <w:numId w:val="3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Kontrola w siedzibie Operatora jest prowadzona na podstawie dokumentów rozliczeniowych określonych w § 5 ust. 2, dostarczonych przez osobę korzystającą z usługi i obejmuje sprawdzenie czy usługa została zrealizowana i rozliczona zgodnie z warunkami umowy.</w:t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0"/>
        <w:numPr>
          <w:ilvl w:val="0"/>
          <w:numId w:val="3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" w:right="0" w:hanging="425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Operator oraz IP FESL-WUP może przeprowadzić wizytę monitoringową bez zapowiedzi w miejscu realizacji usługi rozwojowej. Celem wizyty jest sprawdzenie faktycznego dostarczenia usługi i jej zgodności ze standardami określonymi w karcie usługi.</w:t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0"/>
        <w:numPr>
          <w:ilvl w:val="0"/>
          <w:numId w:val="3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425" w:right="0" w:hanging="425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W trakcie prowadzenia wizyty monitoringowej sporządza się listę sprawdzającą, która na koniec wizyty podpisywana jest przez osoby kontrolujące, osobę korzystającą z usługi oraz osobę/ osoby prowadzące usługę. Na podstawie listy sprawdzającej sporządzany jest protokół z wizyty monitoringowej. Protokół jest przesyłany do osoby korzystającej z usługi w terminie do 7 dni licząc od dnia następnego po dniu wizyty monitoringowej. Protokół zawiera opis przebiegu wizyty monitoringowej, stwierdza uchybienia i konieczność wyjaśnień (jeśli dotyczy).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1"/>
        <w:numPr>
          <w:ilvl w:val="0"/>
          <w:numId w:val="3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Utrudnianie lub uniemożliwienie realizacji uprawnień podmiotów kontrolujących może być traktowane jako odmowa poddania się kontroli, co może skutkować rozwiązaniem u</w:t>
      </w:r>
      <w:bookmarkStart w:colFirst="0" w:colLast="0" w:name="bookmark=id.xl95sroz1xy3" w:id="13"/>
      <w:bookmarkEnd w:id="13"/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mowy.</w:t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§ 9.</w:t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Zwrot środków</w:t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1"/>
        <w:numPr>
          <w:ilvl w:val="0"/>
          <w:numId w:val="3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Jeżeli na podstawie czynności związanych z rozliczeniem usługi rozwojowej lub czynności kontrolnych uprawnionych organów zostanie stwierdzone, że:</w:t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1"/>
        <w:numPr>
          <w:ilvl w:val="0"/>
          <w:numId w:val="3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hanging="425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dofinansowanie zostało wykorzystane w całości lub części niezgodnie z przeznaczeniem;</w:t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1"/>
        <w:numPr>
          <w:ilvl w:val="0"/>
          <w:numId w:val="3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hanging="425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dofinansowanie zostało wykorzystane z naruszeniem procedur, o których mowa w art. 184 ustawy z dnia 27 sierpnia 2009 r. o finansach publicznych;</w:t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1"/>
        <w:numPr>
          <w:ilvl w:val="0"/>
          <w:numId w:val="3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hanging="425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osoba korzystająca z usługi otrzymała dofinansowanie na pokrycie kosztów zakupu tej usługi w sposób nienależny lub w nadmiernej wysokości;</w:t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1"/>
        <w:numPr>
          <w:ilvl w:val="0"/>
          <w:numId w:val="3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hanging="425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osoba korzystająca z usługi złożyła dokumenty stwierdzające nieprawdę w celu uzyskania dofinansowania w ramach umowy na pokrycie kosztów zakupu usługi,</w:t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Operator wzywa tę osobę do zwrotu całości lub części dofinansowania wraz z odsetkami w wysokości określonej jak dla zaległości podatkowych, liczonymi od dnia przekazania środków.</w:t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0"/>
        <w:numPr>
          <w:ilvl w:val="0"/>
          <w:numId w:val="3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Odsetki, o których mowa w ust. 1, naliczane są zgodnie z art. 207 ust. 1 ustawy z dnia 27 sierpnia 2009 r. o finansach publicznych.</w:t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0"/>
        <w:numPr>
          <w:ilvl w:val="0"/>
          <w:numId w:val="3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Osoba korzystająca z usługi zwraca środki, o których mowa w ust. 1, wraz z odsetkami, na pisemne wezwanie Operatora, w terminie do 14 dni kalendarzowych od dnia doręczenia wezwania. Zwrot jest wykonywany na rachunek bankowy wskazany w tym wezwaniu.</w:t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0"/>
        <w:numPr>
          <w:ilvl w:val="0"/>
          <w:numId w:val="3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Osoba korzystająca z usługi opisuje przelew zwracanych środków zgodnie z zaleceniami Operatora.</w:t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0"/>
        <w:numPr>
          <w:ilvl w:val="0"/>
          <w:numId w:val="3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Operator nie jest zobowiązany do ponoszenia udokumentowanych kosztów działań windykacyjnych, podejmowanych wobec osoby korzystającej z usługi w związku z uczestnictwem w tej usłudze.</w:t>
      </w:r>
      <w:bookmarkStart w:colFirst="0" w:colLast="0" w:name="bookmark=id.axjde4pqww0" w:id="14"/>
      <w:bookmarkEnd w:id="1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§ 10.</w:t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Zmiany umowy</w:t>
      </w:r>
    </w:p>
    <w:p w:rsidR="00000000" w:rsidDel="00000000" w:rsidP="00000000" w:rsidRDefault="00000000" w:rsidRPr="00000000" w14:paraId="000000E4">
      <w:pPr>
        <w:numPr>
          <w:ilvl w:val="0"/>
          <w:numId w:val="37"/>
        </w:numPr>
        <w:spacing w:after="0" w:line="240" w:lineRule="auto"/>
        <w:ind w:left="426" w:hanging="426"/>
        <w:jc w:val="both"/>
        <w:rPr>
          <w:rFonts w:ascii="Calibri" w:cs="Calibri" w:eastAsia="Calibri" w:hAnsi="Calibri"/>
          <w:highlight w:val="white"/>
        </w:rPr>
      </w:pPr>
      <w:bookmarkStart w:colFirst="0" w:colLast="0" w:name="_heading=h.i3j9nf1yxilx" w:id="15"/>
      <w:bookmarkEnd w:id="15"/>
      <w:r w:rsidDel="00000000" w:rsidR="00000000" w:rsidRPr="00000000">
        <w:rPr>
          <w:rFonts w:ascii="Calibri" w:cs="Calibri" w:eastAsia="Calibri" w:hAnsi="Calibri"/>
          <w:rtl w:val="0"/>
        </w:rPr>
        <w:t xml:space="preserve">Umowę należy każdorazowo zmienić, w drodze aneksu, w przypadku: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1"/>
        <w:numPr>
          <w:ilvl w:val="0"/>
          <w:numId w:val="2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6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zmiany kwot, o których mowa w § 2 ust. 1, 3 i 5;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1"/>
        <w:numPr>
          <w:ilvl w:val="0"/>
          <w:numId w:val="2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6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 przypadku zmiany numeru karty usługi rozwojowej zgodnie z § 2 ust. 3.</w:t>
      </w:r>
    </w:p>
    <w:p w:rsidR="00000000" w:rsidDel="00000000" w:rsidP="00000000" w:rsidRDefault="00000000" w:rsidRPr="00000000" w14:paraId="000000E7">
      <w:pPr>
        <w:numPr>
          <w:ilvl w:val="0"/>
          <w:numId w:val="37"/>
        </w:numPr>
        <w:spacing w:after="0" w:line="240" w:lineRule="auto"/>
        <w:ind w:left="426" w:hanging="426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Osoba korzystająca z usługi ma obowiązek niezwłocznie poinformować Operatora o zaistniałej zmianie w harmonogramie lub miejscu realizacji tej usługi nie później niż 24 godziny przed terminem jej rozpoczęcia oraz złożyć aktualną deklarację wyboru usług rozwojowych wraz z aktualną kartą usługi, jeżeli następuje zmiana danych zawartych w tej deklaracji. Zmiana taka nie wymaga sporządzenia aneksu do umowy wsparcia.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numPr>
          <w:ilvl w:val="0"/>
          <w:numId w:val="37"/>
        </w:numPr>
        <w:spacing w:after="0" w:line="240" w:lineRule="auto"/>
        <w:ind w:left="426" w:hanging="426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 przypadku zaistnienia konieczności zmiany terminu rozpoczęcia usługi rozwojowej, wynikającej wyłącznie z istotnych przesłanek wpływających na niezachowanie wskazanych terminów (np. z powodu przyczyn zdrowotnych lub losowych), możliwa jest za zgodą Operatora zmiana ww. terminu. W tej sytuacji należy złożyć aktualną deklarację wyboru usług rozwojowych wraz z aktualną kartą usługi.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1"/>
        <w:numPr>
          <w:ilvl w:val="0"/>
          <w:numId w:val="3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" w:right="0" w:hanging="425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bookmarkStart w:colFirst="0" w:colLast="0" w:name="_heading=h.1xvr7e8prtq1" w:id="16"/>
      <w:bookmarkEnd w:id="16"/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 przypadku braku możliwości zapisu na usługę (odwołane szkolenie, brak miejsc, sytuacja losowa osoby korzystającej z usługi, która jest zgłoszona Operatorowi) – dopuszcza się złożenie korekty deklaracji wyboru usługi zawierającej nową usługę, z zakresu tego samego obszaru tematycznego, na jaką została podpisana umowa – w nieprzekraczalnym terminie 10 dni od zaistnienia ww. sytuacji. Zmiana usługi wymaga sporządzenia aneksu umowy wsparcia.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numPr>
          <w:ilvl w:val="0"/>
          <w:numId w:val="37"/>
        </w:numPr>
        <w:spacing w:after="0" w:line="240" w:lineRule="auto"/>
        <w:ind w:left="426" w:hanging="426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Osoba korzystająca z usługi ma obowiązek niezwłocznie poinformować Operatora o zaistniałej zmianie w formularzu zgłoszeniowym uczestnika.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numPr>
          <w:ilvl w:val="0"/>
          <w:numId w:val="37"/>
        </w:numPr>
        <w:spacing w:after="0" w:line="240" w:lineRule="auto"/>
        <w:ind w:left="426" w:hanging="426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W przypadku braku powiadomienia Operatora o zmianie, o której mowa w ust. 2 i ust. 3, Operator może nie uiścić zapłaty na rzecz dostawcy usługi.</w:t>
      </w:r>
    </w:p>
    <w:p w:rsidR="00000000" w:rsidDel="00000000" w:rsidP="00000000" w:rsidRDefault="00000000" w:rsidRPr="00000000" w14:paraId="000000EC">
      <w:pPr>
        <w:numPr>
          <w:ilvl w:val="0"/>
          <w:numId w:val="37"/>
        </w:numPr>
        <w:spacing w:after="0" w:line="240" w:lineRule="auto"/>
        <w:ind w:left="425" w:hanging="425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Zmiany wynikające ze zmian w treści Regulaminu naboru do projektu nie wymagają aneksowania przedmiotowej umowy. </w:t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§ 11.</w:t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Rozwiązanie umowy</w:t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0"/>
        <w:numPr>
          <w:ilvl w:val="0"/>
          <w:numId w:val="3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bookmarkStart w:colFirst="0" w:colLast="0" w:name="_heading=h.3x648lb544gi" w:id="17"/>
      <w:bookmarkEnd w:id="17"/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Operator może rozwiązać umowę wsparcia bez zachowania okresu wypowiedzenia, jeżeli:</w:t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0"/>
        <w:numPr>
          <w:ilvl w:val="0"/>
          <w:numId w:val="3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hanging="426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umowa o dofinansowanie projektu realizowanego przez Operatora została rozwiązana,</w:t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1"/>
        <w:numPr>
          <w:ilvl w:val="0"/>
          <w:numId w:val="3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  <w:tab w:val="left" w:leader="none" w:pos="851"/>
          <w:tab w:val="left" w:leader="none" w:pos="1560"/>
        </w:tabs>
        <w:spacing w:after="0" w:before="0" w:line="240" w:lineRule="auto"/>
        <w:ind w:left="851" w:right="0" w:hanging="426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doszło do rażącego naruszenia postanowień umowy (sytuacja zagrażająca celowi umowy, działania naruszające zobowiązania umowy bez ważnych i uzasadnionych przyczyn) oraz pozostałych dokumentów, określających zasady wsparcia w ramach działania FESL.10.17 przez osobę uczestniczącą w projekcie;</w:t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1"/>
        <w:numPr>
          <w:ilvl w:val="0"/>
          <w:numId w:val="3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  <w:tab w:val="left" w:leader="none" w:pos="851"/>
        </w:tabs>
        <w:spacing w:after="0" w:before="0" w:line="240" w:lineRule="auto"/>
        <w:ind w:left="851" w:right="0" w:hanging="426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doszło do rażącego naruszenia zasad współżycia społecznego, reguł organizacyjno-porządkowych lub przepisów prawa, którego dopuszcza się osoba uczestnicząca w projekcie, w związku z jej udziałem w projekcie;</w:t>
      </w:r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1"/>
        <w:numPr>
          <w:ilvl w:val="0"/>
          <w:numId w:val="3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  <w:tab w:val="left" w:leader="none" w:pos="851"/>
        </w:tabs>
        <w:spacing w:after="0" w:before="0" w:line="240" w:lineRule="auto"/>
        <w:ind w:left="851" w:right="0" w:hanging="426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osoba korzystająca z usługi podała nieprawdziwe informacje w procesie rekrutacji do projektu;</w:t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0"/>
        <w:numPr>
          <w:ilvl w:val="0"/>
          <w:numId w:val="3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hanging="425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osoba korzystająca z usługi wykorzystała w całości lub części przekazane środki niezgodnie z przeznaczeniem;</w:t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0"/>
        <w:numPr>
          <w:ilvl w:val="0"/>
          <w:numId w:val="3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hanging="425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osoba korzystająca z usługi złożyła stwierdzający nieprawdę dokument w celu uzyskania dofinansowania;</w:t>
      </w:r>
    </w:p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0"/>
        <w:numPr>
          <w:ilvl w:val="0"/>
          <w:numId w:val="3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hanging="425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osoba korzystająca z usługi otrzymała wsparcie na pokrycie kosztów zakupu usługi rozwojowej nienależnie lub w nadmiernej wysokości;</w:t>
      </w:r>
    </w:p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0"/>
        <w:numPr>
          <w:ilvl w:val="0"/>
          <w:numId w:val="3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hanging="425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osoba korzystająca z usługi wykorzystała środki z naruszeniem procedur, o których mowa w art. 184 ustawy z dnia 27 sierpnia 2009 r. o finansach publicznych;</w:t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0"/>
        <w:numPr>
          <w:ilvl w:val="0"/>
          <w:numId w:val="3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hanging="425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nie dostarczy Operatorowi kopii faktury (bądź innego dokumentu, np. umowy z dostawcą usługi) oraz potwierdzenie zapłaty, o których mowa w § 2 ust. 6;</w:t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0"/>
        <w:numPr>
          <w:ilvl w:val="0"/>
          <w:numId w:val="3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hanging="425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osoba korzystająca z usługi nie przedłożyła, zgodnie z umową, wniosku o rozliczenie usługi wraz z załącznikami; </w:t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0"/>
        <w:numPr>
          <w:ilvl w:val="0"/>
          <w:numId w:val="3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hanging="425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osoba korzystająca z usługi w sposób uporczywy uchyla się od wykonywania obowiązków, o których mowa w § 8 ust. 1;</w:t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0"/>
        <w:numPr>
          <w:ilvl w:val="0"/>
          <w:numId w:val="3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hanging="425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osoba korzystająca z usługi nie uczestniczy w usłudze wskazanej w aktualnej deklaracji wyboru usług rozwojowych;</w:t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0"/>
        <w:numPr>
          <w:ilvl w:val="0"/>
          <w:numId w:val="3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hanging="425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koszt usługi został uznany za niekwalifikowalny na etapie weryfikacji wniosku o rozliczenie.</w:t>
      </w:r>
    </w:p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0"/>
        <w:numPr>
          <w:ilvl w:val="0"/>
          <w:numId w:val="3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W razie rozwiązania umowy osobie korzystającej z usługi nie przysługuje odszkodowanie.</w:t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0"/>
        <w:numPr>
          <w:ilvl w:val="0"/>
          <w:numId w:val="3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Umowa może zostać rozwiązana przez każdą ze stron w przypadku wystąpienia okoliczności, które uniemożliwiają lub nadmiernie utrudniają dalsze wykonywanie postanowień zawartych w umowie z zachowaniem 7-dniowego terminu wypowiedzenia.</w:t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0"/>
        <w:numPr>
          <w:ilvl w:val="0"/>
          <w:numId w:val="3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W przypadku rozwiązania umowy na podstawie ust. 1 pkt 2-8, osoba korzystająca z usługi zobowiązuje się do zwrotu całości lub części dofinansowania wraz z odsetkami w wysokości określonej jak dla zaległości podatkowych, na warunkach określonych w § 9 ust. 2 i 3.</w:t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0"/>
        <w:numPr>
          <w:ilvl w:val="0"/>
          <w:numId w:val="3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Rozwiązanie umowy nie jest skuteczne w zakresie, w jakim stanowi ona podstawę do przetwarzania danych osobowych.</w:t>
      </w:r>
    </w:p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0"/>
        <w:numPr>
          <w:ilvl w:val="0"/>
          <w:numId w:val="3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Jeżeli umowa wsparcia zostanie rozwiązana przed rozpoczęciem korzystania z usług i przed uzyskaniem dofinansowania, to będzie można podpisać kolejną umowę wsparcia, pod warunkiem ponownego zakwalifikowania się osoby korzystającej z usług do Projektu w ramach złożenia kolejnej fiszki w naborze prowadzonym przez Operatora.</w:t>
      </w:r>
    </w:p>
    <w:p w:rsidR="00000000" w:rsidDel="00000000" w:rsidP="00000000" w:rsidRDefault="00000000" w:rsidRPr="00000000" w14:paraId="000001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bookmark=id.twnysz6io74l" w:id="18"/>
    <w:bookmarkEnd w:id="18"/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§ 12.</w:t>
      </w:r>
    </w:p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Korespondencja</w:t>
      </w:r>
    </w:p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0"/>
        <w:numPr>
          <w:ilvl w:val="3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Wszelka korespondencja związana z realizacją umowy jest prowadzona w formie pisemnej lub za pośrednictwem poczty elektronicznej, kierowanej na poniższe adresy:</w:t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0" w:line="240" w:lineRule="auto"/>
        <w:ind w:left="426" w:right="384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Operator:</w:t>
      </w:r>
    </w:p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76" w:lineRule="auto"/>
        <w:ind w:left="709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ul. K. Goduli 36, 41-703 Ruda Śląska</w:t>
      </w:r>
    </w:p>
    <w:p w:rsidR="00000000" w:rsidDel="00000000" w:rsidP="00000000" w:rsidRDefault="00000000" w:rsidRPr="00000000" w14:paraId="000001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709" w:right="-2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adres e-mail: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1155cc"/>
          <w:highlight w:val="white"/>
          <w:u w:val="none"/>
          <w:vertAlign w:val="baseline"/>
          <w:rtl w:val="0"/>
        </w:rPr>
        <w:t xml:space="preserve">projekt10.17@inkubatorsl.pl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384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osoba uczestnicząca w projekcie:</w:t>
      </w:r>
    </w:p>
    <w:p w:rsidR="00000000" w:rsidDel="00000000" w:rsidP="00000000" w:rsidRDefault="00000000" w:rsidRPr="00000000" w14:paraId="000001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-2" w:hanging="425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(ul., numer budynku/lokalu, kod pocztowy, miejscowość)</w:t>
      </w:r>
    </w:p>
    <w:p w:rsidR="00000000" w:rsidDel="00000000" w:rsidP="00000000" w:rsidRDefault="00000000" w:rsidRPr="00000000" w14:paraId="000001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1134" w:right="-2" w:hanging="425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adres e-mail: …………</w:t>
      </w:r>
    </w:p>
    <w:p w:rsidR="00000000" w:rsidDel="00000000" w:rsidP="00000000" w:rsidRDefault="00000000" w:rsidRPr="00000000" w14:paraId="0000010D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W przypadku zmiany danych, o których mowa w ust. 1, strony umowy są zobowiązane do powiadomienia o tej zmianie w formie pisemnej lub za pośrednictwem poczty elektronicznej w terminie do 5 dni od dnia jej wystąpienia.</w:t>
      </w:r>
    </w:p>
    <w:p w:rsidR="00000000" w:rsidDel="00000000" w:rsidP="00000000" w:rsidRDefault="00000000" w:rsidRPr="00000000" w14:paraId="0000010E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W okresie obowiązywania umowy osoba korzystająca z usługi jest zobowiązana do niezwłocznego powiadamiania Operatora o wszelkich zmianach danych mających wpływ na uczestnictwo w projekcie.</w:t>
      </w:r>
    </w:p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Osoba uczestnicząca w projekcie zobowiązana jest do zapewnienia prawidłowego działania i regularnego (min. raz dziennie) monitorowania skrzynki poczty elektronicznej, której adres wskazano w ust. 1 pkt 2.</w:t>
      </w:r>
    </w:p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§ 13.</w:t>
      </w:r>
    </w:p>
    <w:p w:rsidR="00000000" w:rsidDel="00000000" w:rsidP="00000000" w:rsidRDefault="00000000" w:rsidRPr="00000000" w14:paraId="000001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Postanowienia końcowe</w:t>
      </w:r>
    </w:p>
    <w:p w:rsidR="00000000" w:rsidDel="00000000" w:rsidP="00000000" w:rsidRDefault="00000000" w:rsidRPr="00000000" w14:paraId="00000113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Prawa i obowiązki osoby korzystającej z usługi wynikające z umowy nie mogą być przenoszone na rzecz osoby trzeciej.</w:t>
      </w:r>
    </w:p>
    <w:p w:rsidR="00000000" w:rsidDel="00000000" w:rsidP="00000000" w:rsidRDefault="00000000" w:rsidRPr="00000000" w14:paraId="0000011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Spory związane z realizacją umowy strony będą starały się rozwiązać polubownie.</w:t>
      </w:r>
    </w:p>
    <w:p w:rsidR="00000000" w:rsidDel="00000000" w:rsidP="00000000" w:rsidRDefault="00000000" w:rsidRPr="00000000" w14:paraId="00000115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W przypadku nierozwiązania sporu w drodze polubownej, sprawa jest rozstrzygana przez sąd powszechny właściwy dla siedziby Operatora.</w:t>
      </w:r>
    </w:p>
    <w:p w:rsidR="00000000" w:rsidDel="00000000" w:rsidP="00000000" w:rsidRDefault="00000000" w:rsidRPr="00000000" w14:paraId="00000116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W sprawach nieuregulowanych umową mają zastosowanie odpowiednie dokumenty programowe oraz zasady regulujące wdrażanie programu Fundusze Europejskie dla Śląskiego 2021-2027 a także zapisy regulaminu naboru oraz przepisy wynikające z właściwych aktów prawa wspólnotowego i polskiego, w szczególności ustawy z dnia 23 kwietnia 1964 r. Kodeks cywilny i rozporządzenia Parlamentu Europejskiego i Rady (UE) 2016/679 z dnia 27 kwietnia 2016 r. w sprawie ochrony osób fizycznych w związku z przetwarzaniem danych osobowych i w sprawie swobodnego przepływu takich danych oraz uchylenia dyrektywy 95/46/WE oraz inne właściwe akty prawa krajowego.</w:t>
      </w:r>
    </w:p>
    <w:p w:rsidR="00000000" w:rsidDel="00000000" w:rsidP="00000000" w:rsidRDefault="00000000" w:rsidRPr="00000000" w14:paraId="00000117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Umowa została sporządzona w dwóch jednobrzmiących egzemplarzach, po jednym dla Operatora i osoby korzystającej z usługi.</w:t>
      </w:r>
    </w:p>
    <w:p w:rsidR="00000000" w:rsidDel="00000000" w:rsidP="00000000" w:rsidRDefault="00000000" w:rsidRPr="00000000" w14:paraId="0000011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" w:right="0" w:hanging="425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Dopuszcza się elektroniczne podpisanie umowy wsparcia poprzez opatrzenie jej kwalifikowanym podpisem elektronicznym lub podpisem osobistym (e-dowód)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lub przekazanie przez Operatora umowy za pośrednictwem poczty elektronicznej w celu jej wydrukowania i podpisania przez uczestnika i odesłania do Operatora za pośrednictwem Operatora pocztowego lub podmiotu prowadzącego działalność kurierską.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" w:right="0" w:hanging="425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Umowa obowiązuje od dnia jej podpisania przez ostatnią ze stron do momentu realizacji wszystkich zobowiązań obydwu stron, wynikających z zapisów treści umowy.</w:t>
      </w:r>
    </w:p>
    <w:p w:rsidR="00000000" w:rsidDel="00000000" w:rsidP="00000000" w:rsidRDefault="00000000" w:rsidRPr="00000000" w14:paraId="0000011A">
      <w:pPr>
        <w:spacing w:after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spacing w:after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………………………………………</w:t>
        <w:tab/>
        <w:tab/>
        <w:tab/>
        <w:tab/>
        <w:t xml:space="preserve">………………………………..........</w:t>
      </w:r>
    </w:p>
    <w:p w:rsidR="00000000" w:rsidDel="00000000" w:rsidP="00000000" w:rsidRDefault="00000000" w:rsidRPr="00000000" w14:paraId="000001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56" w:right="0" w:hanging="4247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Operator (data i podpis)</w:t>
        <w:tab/>
        <w:tab/>
        <w:t xml:space="preserve">osoba uczestnicząca w projekcie</w:t>
      </w:r>
    </w:p>
    <w:p w:rsidR="00000000" w:rsidDel="00000000" w:rsidP="00000000" w:rsidRDefault="00000000" w:rsidRPr="00000000" w14:paraId="000001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64" w:right="0" w:firstLine="707.9999999999995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(data i podpis)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spacing w:after="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spacing w:after="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spacing w:after="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Załączniki:</w:t>
      </w:r>
    </w:p>
    <w:p w:rsidR="00000000" w:rsidDel="00000000" w:rsidP="00000000" w:rsidRDefault="00000000" w:rsidRPr="00000000" w14:paraId="00000124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formularz zgłoszeniowy do projektu,</w:t>
      </w:r>
    </w:p>
    <w:p w:rsidR="00000000" w:rsidDel="00000000" w:rsidP="00000000" w:rsidRDefault="00000000" w:rsidRPr="00000000" w14:paraId="00000125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deklaracja wyboru usług rozwojowych.</w:t>
      </w:r>
    </w:p>
    <w:sectPr>
      <w:headerReference r:id="rId8" w:type="default"/>
      <w:headerReference r:id="rId9" w:type="first"/>
      <w:footerReference r:id="rId10" w:type="default"/>
      <w:footerReference r:id="rId11" w:type="first"/>
      <w:pgSz w:h="16838" w:w="11906" w:orient="portrait"/>
      <w:pgMar w:bottom="1418" w:top="1134" w:left="1418" w:right="1418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7f7f7f"/>
        <w:sz w:val="16"/>
        <w:szCs w:val="16"/>
        <w:u w:val="none"/>
        <w:shd w:fill="auto" w:val="clear"/>
        <w:vertAlign w:val="baseline"/>
        <w:rtl w:val="0"/>
      </w:rPr>
      <w:t xml:space="preserve">Strona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| 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3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7f7f7f"/>
        <w:sz w:val="16"/>
        <w:szCs w:val="16"/>
        <w:u w:val="none"/>
        <w:shd w:fill="auto" w:val="clear"/>
        <w:vertAlign w:val="baseline"/>
        <w:rtl w:val="0"/>
      </w:rPr>
      <w:t xml:space="preserve">Strona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| 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126">
      <w:pPr>
        <w:spacing w:after="0" w:line="240" w:lineRule="auto"/>
        <w:rPr>
          <w:sz w:val="16"/>
          <w:szCs w:val="16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16"/>
          <w:szCs w:val="16"/>
          <w:rtl w:val="0"/>
        </w:rPr>
        <w:t xml:space="preserve"> Jednej lub więcej, zgodnie z treścią umowy.</w:t>
      </w:r>
    </w:p>
  </w:footnote>
  <w:footnote w:id="1">
    <w:p w:rsidR="00000000" w:rsidDel="00000000" w:rsidP="00000000" w:rsidRDefault="00000000" w:rsidRPr="00000000" w14:paraId="000001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Zasady funkcjonowania w bazie dostawców usług świadczących usługi rozwojowe współfinansowane ze środków publicznych zostały szczegółowo określone w załączniku nr 4 do regulaminu Bazy usług rozwojowych.</w:t>
      </w:r>
    </w:p>
  </w:footnote>
  <w:footnote w:id="2">
    <w:p w:rsidR="00000000" w:rsidDel="00000000" w:rsidP="00000000" w:rsidRDefault="00000000" w:rsidRPr="00000000" w14:paraId="000001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Definicja certyfikowania zgodna z art. 2 pkt 1 ustawy z dnia 22 grudnia 2015 r. o Zintegrowanym Systemie Kwalifikacji (.</w:t>
      </w:r>
    </w:p>
  </w:footnote>
  <w:footnote w:id="3">
    <w:p w:rsidR="00000000" w:rsidDel="00000000" w:rsidP="00000000" w:rsidRDefault="00000000" w:rsidRPr="00000000" w14:paraId="000001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Definicja kwalifikacji zgodna z art. 2 pkt 8 ustawy z dnia 22 grudnia 2015 r. o Zintegrowanym Systemie Kwalifikacji.</w:t>
      </w:r>
    </w:p>
  </w:footnote>
  <w:footnote w:id="4">
    <w:p w:rsidR="00000000" w:rsidDel="00000000" w:rsidP="00000000" w:rsidRDefault="00000000" w:rsidRPr="00000000" w14:paraId="000001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Definicja walidacji zgodna z art. 2 pkt 22 ustawy z dnia 22 grudnia 2015 r. o Zintegrowanym Systemie Kwalifikacji.</w:t>
      </w:r>
    </w:p>
  </w:footnote>
  <w:footnote w:id="5">
    <w:p w:rsidR="00000000" w:rsidDel="00000000" w:rsidP="00000000" w:rsidRDefault="00000000" w:rsidRPr="00000000" w14:paraId="000001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Jak wyżej.</w:t>
      </w:r>
    </w:p>
  </w:footnote>
  <w:footnote w:id="6">
    <w:p w:rsidR="00000000" w:rsidDel="00000000" w:rsidP="00000000" w:rsidRDefault="00000000" w:rsidRPr="00000000" w14:paraId="000001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Jak wyżej.</w:t>
      </w:r>
    </w:p>
  </w:footnote>
  <w:footnote w:id="7">
    <w:p w:rsidR="00000000" w:rsidDel="00000000" w:rsidP="00000000" w:rsidRDefault="00000000" w:rsidRPr="00000000" w14:paraId="000001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Jak wyżej.</w:t>
      </w:r>
    </w:p>
  </w:footnote>
  <w:footnote w:id="8">
    <w:p w:rsidR="00000000" w:rsidDel="00000000" w:rsidP="00000000" w:rsidRDefault="00000000" w:rsidRPr="00000000" w14:paraId="000001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Wyszczególnić każdą usługę objętą umową.</w:t>
      </w:r>
    </w:p>
  </w:footnote>
  <w:footnote w:id="9">
    <w:p w:rsidR="00000000" w:rsidDel="00000000" w:rsidP="00000000" w:rsidRDefault="00000000" w:rsidRPr="00000000" w14:paraId="000001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Dopuszczalna jest również wpłata z konta bankowego, do którego osoba uczestnicząca w projekcie posiada status współposiadacza konta. Dopuszczalne jest również przyjmowanie wpłat wkładu własnego z kont typu Revolut, jednorazowych kont bankowych a także przekazów pieniężnych. Usługi przekazu pieniężnego muszą być świadczone zgodne z ustawą o usługach płatniczych, a podmiot musi być wpisany do rejestru dostawców usług płatniczych i wydawców pieniądza elektronicznego prowadzonego przez KNF.</w:t>
      </w:r>
    </w:p>
  </w:footnote>
  <w:footnote w:id="10">
    <w:p w:rsidR="00000000" w:rsidDel="00000000" w:rsidP="00000000" w:rsidRDefault="00000000" w:rsidRPr="00000000" w14:paraId="000001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Niepotrzebne skreślić.</w:t>
      </w:r>
    </w:p>
  </w:footnote>
  <w:footnote w:id="11">
    <w:p w:rsidR="00000000" w:rsidDel="00000000" w:rsidP="00000000" w:rsidRDefault="00000000" w:rsidRPr="00000000" w14:paraId="000001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Niepotrzebne skreślić.</w:t>
      </w:r>
    </w:p>
  </w:footnote>
  <w:footnote w:id="12">
    <w:p w:rsidR="00000000" w:rsidDel="00000000" w:rsidP="00000000" w:rsidRDefault="00000000" w:rsidRPr="00000000" w14:paraId="00000132">
      <w:pPr>
        <w:spacing w:after="0" w:line="240" w:lineRule="auto"/>
        <w:jc w:val="both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 Dopuszcza się realizację usługi w formule on-line na odpowiedniej platformie webinarowej. Dopuszcza się również realizację usługi poza terenem, o którym mowa w pkt 4, w przypadku:</w:t>
      </w:r>
    </w:p>
    <w:p w:rsidR="00000000" w:rsidDel="00000000" w:rsidP="00000000" w:rsidRDefault="00000000" w:rsidRPr="00000000" w14:paraId="00000133">
      <w:pPr>
        <w:keepNext w:val="0"/>
        <w:keepLines w:val="0"/>
        <w:pageBreakBefore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283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braku technicznych możliwości realizacji usługi na terenie wskazanym w ust. 1 pkt 4, rozumianych jako brak infrastruktury technicznej, np. specjalistycznych laboratoriów wyposażonych w odpowiednią infrastrukturę, warunki techniczne lub specjalistyczny sprzęt albo</w:t>
      </w:r>
    </w:p>
    <w:p w:rsidR="00000000" w:rsidDel="00000000" w:rsidP="00000000" w:rsidRDefault="00000000" w:rsidRPr="00000000" w14:paraId="00000134">
      <w:pPr>
        <w:numPr>
          <w:ilvl w:val="0"/>
          <w:numId w:val="18"/>
        </w:numPr>
        <w:spacing w:after="0" w:line="240" w:lineRule="auto"/>
        <w:ind w:left="567" w:hanging="283"/>
        <w:jc w:val="both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zamieszczenia ogłoszenia o zapotrzebowaniu na usługę rozwojową w BUR i w następstwie braku zgłoszeń ze strony dostawców usług (w sytuacji, kiedy w BUR nie będzie usług odpowiadających specyficznym potrzebom osoby uczestniczącej w projekcie). Za poprawnie przeprowadzone postępowanie można uznać wyłącznie postępowanie, w ramach którego ogłoszenie zamieszczone w module „Zapotrzebowanie na usługi” było dostępne (widoczne) dla dostawców usług przez co najmniej 5 dni kalendarzowych. Osoba uczestnicząca w projekcie jest zobowiązana udokumentować ten fakt poprzez wydruki z BUR.</w:t>
      </w:r>
    </w:p>
  </w:footnote>
  <w:footnote w:id="13">
    <w:p w:rsidR="00000000" w:rsidDel="00000000" w:rsidP="00000000" w:rsidRDefault="00000000" w:rsidRPr="00000000" w14:paraId="000001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Przez powiązania kapitałowe lub osobowe należy rozumieć powiązania, o których mowa w ust. 2 pkt 2.</w:t>
      </w:r>
    </w:p>
  </w:footnote>
  <w:footnote w:id="14">
    <w:p w:rsidR="00000000" w:rsidDel="00000000" w:rsidP="00000000" w:rsidRDefault="00000000" w:rsidRPr="00000000" w14:paraId="000001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Dokumenty rozliczeniowe składane są w jednym egzemplarzu.</w:t>
      </w:r>
    </w:p>
  </w:footnote>
  <w:footnote w:id="15">
    <w:p w:rsidR="00000000" w:rsidDel="00000000" w:rsidP="00000000" w:rsidRDefault="00000000" w:rsidRPr="00000000" w14:paraId="000001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W przypadku braku nr PESEL należy podać datę urodzenia oraz typ i numer dokumentu tożsamości</w:t>
      </w:r>
    </w:p>
  </w:footnote>
  <w:footnote w:id="16">
    <w:p w:rsidR="00000000" w:rsidDel="00000000" w:rsidP="00000000" w:rsidRDefault="00000000" w:rsidRPr="00000000" w14:paraId="000001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Nie jest możliwe podpisanie wniosku podpisem zaufanym.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drawing>
        <wp:inline distB="0" distT="0" distL="0" distR="0">
          <wp:extent cx="4714875" cy="647700"/>
          <wp:effectExtent b="0" l="0" r="0" t="0"/>
          <wp:docPr descr="Logotypy programu Fundusze Europejskie dla Śląskiego 2021-2027 (mono poziom)" id="2" name="image1.png"/>
          <a:graphic>
            <a:graphicData uri="http://schemas.openxmlformats.org/drawingml/2006/picture">
              <pic:pic>
                <pic:nvPicPr>
                  <pic:cNvPr descr="Logotypy programu Fundusze Europejskie dla Śląskiego 2021-2027 (mono poziom)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714875" cy="6477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2123" w:hanging="705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380" w:hanging="360"/>
      </w:pPr>
      <w:rPr/>
    </w:lvl>
    <w:lvl w:ilvl="1">
      <w:start w:val="0"/>
      <w:numFmt w:val="bullet"/>
      <w:lvlText w:val="●"/>
      <w:lvlJc w:val="left"/>
      <w:pPr>
        <w:ind w:left="110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lowerRoman"/>
      <w:lvlText w:val="%3."/>
      <w:lvlJc w:val="right"/>
      <w:pPr>
        <w:ind w:left="1820" w:hanging="180"/>
      </w:pPr>
      <w:rPr/>
    </w:lvl>
    <w:lvl w:ilvl="3">
      <w:start w:val="1"/>
      <w:numFmt w:val="decimal"/>
      <w:lvlText w:val="%4."/>
      <w:lvlJc w:val="left"/>
      <w:pPr>
        <w:ind w:left="360" w:hanging="360"/>
      </w:pPr>
      <w:rPr/>
    </w:lvl>
    <w:lvl w:ilvl="4">
      <w:start w:val="1"/>
      <w:numFmt w:val="lowerLetter"/>
      <w:lvlText w:val="%5."/>
      <w:lvlJc w:val="left"/>
      <w:pPr>
        <w:ind w:left="3260" w:hanging="360"/>
      </w:pPr>
      <w:rPr/>
    </w:lvl>
    <w:lvl w:ilvl="5">
      <w:start w:val="1"/>
      <w:numFmt w:val="lowerRoman"/>
      <w:lvlText w:val="%6."/>
      <w:lvlJc w:val="right"/>
      <w:pPr>
        <w:ind w:left="3980" w:hanging="180"/>
      </w:pPr>
      <w:rPr/>
    </w:lvl>
    <w:lvl w:ilvl="6">
      <w:start w:val="1"/>
      <w:numFmt w:val="decimal"/>
      <w:lvlText w:val="%7."/>
      <w:lvlJc w:val="left"/>
      <w:pPr>
        <w:ind w:left="4700" w:hanging="360"/>
      </w:pPr>
      <w:rPr/>
    </w:lvl>
    <w:lvl w:ilvl="7">
      <w:start w:val="1"/>
      <w:numFmt w:val="lowerLetter"/>
      <w:lvlText w:val="%8."/>
      <w:lvlJc w:val="left"/>
      <w:pPr>
        <w:ind w:left="5420" w:hanging="360"/>
      </w:pPr>
      <w:rPr/>
    </w:lvl>
    <w:lvl w:ilvl="8">
      <w:start w:val="1"/>
      <w:numFmt w:val="lowerRoman"/>
      <w:lvlText w:val="%9."/>
      <w:lvlJc w:val="right"/>
      <w:pPr>
        <w:ind w:left="6140" w:hanging="180"/>
      </w:pPr>
      <w:rPr/>
    </w:lvl>
  </w:abstractNum>
  <w:abstractNum w:abstractNumId="3">
    <w:lvl w:ilvl="0">
      <w:start w:val="2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425" w:hanging="425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decimal"/>
      <w:lvlText w:val="%1)"/>
      <w:lvlJc w:val="left"/>
      <w:pPr>
        <w:ind w:left="1287" w:hanging="360.0000000000001"/>
      </w:pPr>
      <w:rPr/>
    </w:lvl>
    <w:lvl w:ilvl="1">
      <w:start w:val="1"/>
      <w:numFmt w:val="lowerLetter"/>
      <w:lvlText w:val="%2."/>
      <w:lvlJc w:val="left"/>
      <w:pPr>
        <w:ind w:left="2007" w:hanging="360"/>
      </w:pPr>
      <w:rPr/>
    </w:lvl>
    <w:lvl w:ilvl="2">
      <w:start w:val="1"/>
      <w:numFmt w:val="lowerRoman"/>
      <w:lvlText w:val="%3."/>
      <w:lvlJc w:val="right"/>
      <w:pPr>
        <w:ind w:left="2727" w:hanging="180"/>
      </w:pPr>
      <w:rPr/>
    </w:lvl>
    <w:lvl w:ilvl="3">
      <w:start w:val="1"/>
      <w:numFmt w:val="decimal"/>
      <w:lvlText w:val="%4."/>
      <w:lvlJc w:val="left"/>
      <w:pPr>
        <w:ind w:left="3447" w:hanging="360"/>
      </w:pPr>
      <w:rPr/>
    </w:lvl>
    <w:lvl w:ilvl="4">
      <w:start w:val="1"/>
      <w:numFmt w:val="lowerLetter"/>
      <w:lvlText w:val="%5."/>
      <w:lvlJc w:val="left"/>
      <w:pPr>
        <w:ind w:left="4167" w:hanging="360"/>
      </w:pPr>
      <w:rPr/>
    </w:lvl>
    <w:lvl w:ilvl="5">
      <w:start w:val="1"/>
      <w:numFmt w:val="lowerRoman"/>
      <w:lvlText w:val="%6."/>
      <w:lvlJc w:val="right"/>
      <w:pPr>
        <w:ind w:left="4887" w:hanging="180"/>
      </w:pPr>
      <w:rPr/>
    </w:lvl>
    <w:lvl w:ilvl="6">
      <w:start w:val="1"/>
      <w:numFmt w:val="decimal"/>
      <w:lvlText w:val="%7."/>
      <w:lvlJc w:val="left"/>
      <w:pPr>
        <w:ind w:left="5607" w:hanging="360"/>
      </w:pPr>
      <w:rPr/>
    </w:lvl>
    <w:lvl w:ilvl="7">
      <w:start w:val="1"/>
      <w:numFmt w:val="lowerLetter"/>
      <w:lvlText w:val="%8."/>
      <w:lvlJc w:val="left"/>
      <w:pPr>
        <w:ind w:left="6327" w:hanging="360"/>
      </w:pPr>
      <w:rPr/>
    </w:lvl>
    <w:lvl w:ilvl="8">
      <w:start w:val="1"/>
      <w:numFmt w:val="lowerRoman"/>
      <w:lvlText w:val="%9."/>
      <w:lvlJc w:val="right"/>
      <w:pPr>
        <w:ind w:left="7047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ind w:left="425" w:hanging="425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ind w:left="425" w:hanging="425"/>
      </w:pPr>
      <w:rPr>
        <w:rFonts w:ascii="Calibri" w:cs="Calibri" w:eastAsia="Calibri" w:hAnsi="Calibri"/>
        <w:b w:val="0"/>
        <w:bCs w:val="0"/>
      </w:rPr>
    </w:lvl>
    <w:lvl w:ilvl="1">
      <w:start w:val="1"/>
      <w:numFmt w:val="decimal"/>
      <w:lvlText w:val="%2)"/>
      <w:lvlJc w:val="left"/>
      <w:pPr>
        <w:ind w:left="851" w:hanging="426.00000000000006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9">
    <w:lvl w:ilvl="0">
      <w:start w:val="1"/>
      <w:numFmt w:val="low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)"/>
      <w:lvlJc w:val="left"/>
      <w:pPr>
        <w:ind w:left="1276" w:hanging="425"/>
      </w:pPr>
      <w:rPr/>
    </w:lvl>
    <w:lvl w:ilvl="2">
      <w:start w:val="1"/>
      <w:numFmt w:val="lowerRoman"/>
      <w:lvlText w:val="%3)"/>
      <w:lvlJc w:val="left"/>
      <w:pPr>
        <w:ind w:left="2700" w:hanging="72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0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decimal"/>
      <w:lvlText w:val="%2)"/>
      <w:lvlJc w:val="left"/>
      <w:pPr>
        <w:ind w:left="851" w:hanging="426.00000000000006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)"/>
      <w:lvlJc w:val="left"/>
      <w:pPr>
        <w:ind w:left="1440" w:hanging="360"/>
      </w:pPr>
      <w:rPr/>
    </w:lvl>
    <w:lvl w:ilvl="2">
      <w:start w:val="1"/>
      <w:numFmt w:val="lowerLetter"/>
      <w:lvlText w:val="%3)"/>
      <w:lvlJc w:val="lef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2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3">
    <w:lvl w:ilvl="0">
      <w:start w:val="1"/>
      <w:numFmt w:val="decimal"/>
      <w:lvlText w:val="%1)"/>
      <w:lvlJc w:val="left"/>
      <w:pPr>
        <w:ind w:left="1134" w:hanging="425.9999999999999"/>
      </w:pPr>
      <w:rPr/>
    </w:lvl>
    <w:lvl w:ilvl="1">
      <w:start w:val="1"/>
      <w:numFmt w:val="lowerLetter"/>
      <w:lvlText w:val="%2."/>
      <w:lvlJc w:val="left"/>
      <w:pPr>
        <w:ind w:left="1723" w:hanging="360"/>
      </w:pPr>
      <w:rPr/>
    </w:lvl>
    <w:lvl w:ilvl="2">
      <w:start w:val="1"/>
      <w:numFmt w:val="lowerRoman"/>
      <w:lvlText w:val="%3."/>
      <w:lvlJc w:val="right"/>
      <w:pPr>
        <w:ind w:left="2443" w:hanging="180"/>
      </w:pPr>
      <w:rPr/>
    </w:lvl>
    <w:lvl w:ilvl="3">
      <w:start w:val="1"/>
      <w:numFmt w:val="decimal"/>
      <w:lvlText w:val="%4."/>
      <w:lvlJc w:val="left"/>
      <w:pPr>
        <w:ind w:left="3163" w:hanging="360"/>
      </w:pPr>
      <w:rPr/>
    </w:lvl>
    <w:lvl w:ilvl="4">
      <w:start w:val="1"/>
      <w:numFmt w:val="lowerLetter"/>
      <w:lvlText w:val="%5."/>
      <w:lvlJc w:val="left"/>
      <w:pPr>
        <w:ind w:left="3883" w:hanging="360"/>
      </w:pPr>
      <w:rPr/>
    </w:lvl>
    <w:lvl w:ilvl="5">
      <w:start w:val="1"/>
      <w:numFmt w:val="lowerRoman"/>
      <w:lvlText w:val="%6."/>
      <w:lvlJc w:val="right"/>
      <w:pPr>
        <w:ind w:left="4603" w:hanging="180"/>
      </w:pPr>
      <w:rPr/>
    </w:lvl>
    <w:lvl w:ilvl="6">
      <w:start w:val="1"/>
      <w:numFmt w:val="decimal"/>
      <w:lvlText w:val="%7."/>
      <w:lvlJc w:val="left"/>
      <w:pPr>
        <w:ind w:left="5323" w:hanging="360"/>
      </w:pPr>
      <w:rPr/>
    </w:lvl>
    <w:lvl w:ilvl="7">
      <w:start w:val="1"/>
      <w:numFmt w:val="lowerLetter"/>
      <w:lvlText w:val="%8."/>
      <w:lvlJc w:val="left"/>
      <w:pPr>
        <w:ind w:left="6043" w:hanging="360"/>
      </w:pPr>
      <w:rPr/>
    </w:lvl>
    <w:lvl w:ilvl="8">
      <w:start w:val="1"/>
      <w:numFmt w:val="lowerRoman"/>
      <w:lvlText w:val="%9."/>
      <w:lvlJc w:val="right"/>
      <w:pPr>
        <w:ind w:left="6763" w:hanging="180"/>
      </w:pPr>
      <w:rPr/>
    </w:lvl>
  </w:abstractNum>
  <w:abstractNum w:abstractNumId="14">
    <w:lvl w:ilvl="0">
      <w:start w:val="1"/>
      <w:numFmt w:val="lowerLetter"/>
      <w:lvlText w:val="%1)"/>
      <w:lvlJc w:val="left"/>
      <w:pPr>
        <w:ind w:left="1287" w:hanging="360.0000000000001"/>
      </w:pPr>
      <w:rPr/>
    </w:lvl>
    <w:lvl w:ilvl="1">
      <w:start w:val="1"/>
      <w:numFmt w:val="lowerLetter"/>
      <w:lvlText w:val="%2."/>
      <w:lvlJc w:val="left"/>
      <w:pPr>
        <w:ind w:left="2007" w:hanging="360"/>
      </w:pPr>
      <w:rPr/>
    </w:lvl>
    <w:lvl w:ilvl="2">
      <w:start w:val="1"/>
      <w:numFmt w:val="lowerRoman"/>
      <w:lvlText w:val="%3."/>
      <w:lvlJc w:val="right"/>
      <w:pPr>
        <w:ind w:left="2727" w:hanging="180"/>
      </w:pPr>
      <w:rPr/>
    </w:lvl>
    <w:lvl w:ilvl="3">
      <w:start w:val="1"/>
      <w:numFmt w:val="decimal"/>
      <w:lvlText w:val="%4."/>
      <w:lvlJc w:val="left"/>
      <w:pPr>
        <w:ind w:left="3447" w:hanging="360"/>
      </w:pPr>
      <w:rPr/>
    </w:lvl>
    <w:lvl w:ilvl="4">
      <w:start w:val="1"/>
      <w:numFmt w:val="lowerLetter"/>
      <w:lvlText w:val="%5."/>
      <w:lvlJc w:val="left"/>
      <w:pPr>
        <w:ind w:left="4167" w:hanging="360"/>
      </w:pPr>
      <w:rPr/>
    </w:lvl>
    <w:lvl w:ilvl="5">
      <w:start w:val="1"/>
      <w:numFmt w:val="lowerRoman"/>
      <w:lvlText w:val="%6."/>
      <w:lvlJc w:val="right"/>
      <w:pPr>
        <w:ind w:left="4887" w:hanging="180"/>
      </w:pPr>
      <w:rPr/>
    </w:lvl>
    <w:lvl w:ilvl="6">
      <w:start w:val="1"/>
      <w:numFmt w:val="decimal"/>
      <w:lvlText w:val="%7."/>
      <w:lvlJc w:val="left"/>
      <w:pPr>
        <w:ind w:left="5607" w:hanging="360"/>
      </w:pPr>
      <w:rPr/>
    </w:lvl>
    <w:lvl w:ilvl="7">
      <w:start w:val="1"/>
      <w:numFmt w:val="lowerLetter"/>
      <w:lvlText w:val="%8."/>
      <w:lvlJc w:val="left"/>
      <w:pPr>
        <w:ind w:left="6327" w:hanging="360"/>
      </w:pPr>
      <w:rPr/>
    </w:lvl>
    <w:lvl w:ilvl="8">
      <w:start w:val="1"/>
      <w:numFmt w:val="lowerRoman"/>
      <w:lvlText w:val="%9."/>
      <w:lvlJc w:val="right"/>
      <w:pPr>
        <w:ind w:left="7047" w:hanging="180"/>
      </w:pPr>
      <w:rPr/>
    </w:lvl>
  </w:abstractNum>
  <w:abstractNum w:abstractNumId="15">
    <w:lvl w:ilvl="0">
      <w:start w:val="1"/>
      <w:numFmt w:val="lowerLetter"/>
      <w:lvlText w:val="%1)"/>
      <w:lvlJc w:val="left"/>
      <w:pPr>
        <w:ind w:left="1287" w:hanging="360.0000000000001"/>
      </w:pPr>
      <w:rPr/>
    </w:lvl>
    <w:lvl w:ilvl="1">
      <w:start w:val="1"/>
      <w:numFmt w:val="lowerLetter"/>
      <w:lvlText w:val="%2."/>
      <w:lvlJc w:val="left"/>
      <w:pPr>
        <w:ind w:left="2007" w:hanging="360"/>
      </w:pPr>
      <w:rPr/>
    </w:lvl>
    <w:lvl w:ilvl="2">
      <w:start w:val="1"/>
      <w:numFmt w:val="lowerRoman"/>
      <w:lvlText w:val="%3."/>
      <w:lvlJc w:val="right"/>
      <w:pPr>
        <w:ind w:left="2727" w:hanging="180"/>
      </w:pPr>
      <w:rPr/>
    </w:lvl>
    <w:lvl w:ilvl="3">
      <w:start w:val="1"/>
      <w:numFmt w:val="decimal"/>
      <w:lvlText w:val="%4."/>
      <w:lvlJc w:val="left"/>
      <w:pPr>
        <w:ind w:left="3447" w:hanging="360"/>
      </w:pPr>
      <w:rPr/>
    </w:lvl>
    <w:lvl w:ilvl="4">
      <w:start w:val="1"/>
      <w:numFmt w:val="lowerLetter"/>
      <w:lvlText w:val="%5."/>
      <w:lvlJc w:val="left"/>
      <w:pPr>
        <w:ind w:left="4167" w:hanging="360"/>
      </w:pPr>
      <w:rPr/>
    </w:lvl>
    <w:lvl w:ilvl="5">
      <w:start w:val="1"/>
      <w:numFmt w:val="lowerRoman"/>
      <w:lvlText w:val="%6."/>
      <w:lvlJc w:val="right"/>
      <w:pPr>
        <w:ind w:left="4887" w:hanging="180"/>
      </w:pPr>
      <w:rPr/>
    </w:lvl>
    <w:lvl w:ilvl="6">
      <w:start w:val="1"/>
      <w:numFmt w:val="decimal"/>
      <w:lvlText w:val="%7."/>
      <w:lvlJc w:val="left"/>
      <w:pPr>
        <w:ind w:left="5607" w:hanging="360"/>
      </w:pPr>
      <w:rPr/>
    </w:lvl>
    <w:lvl w:ilvl="7">
      <w:start w:val="1"/>
      <w:numFmt w:val="lowerLetter"/>
      <w:lvlText w:val="%8."/>
      <w:lvlJc w:val="left"/>
      <w:pPr>
        <w:ind w:left="6327" w:hanging="360"/>
      </w:pPr>
      <w:rPr/>
    </w:lvl>
    <w:lvl w:ilvl="8">
      <w:start w:val="1"/>
      <w:numFmt w:val="lowerRoman"/>
      <w:lvlText w:val="%9."/>
      <w:lvlJc w:val="right"/>
      <w:pPr>
        <w:ind w:left="7047" w:hanging="180"/>
      </w:pPr>
      <w:rPr/>
    </w:lvl>
  </w:abstractNum>
  <w:abstractNum w:abstractNumId="16">
    <w:lvl w:ilvl="0">
      <w:start w:val="1"/>
      <w:numFmt w:val="decimal"/>
      <w:lvlText w:val="%1)"/>
      <w:lvlJc w:val="left"/>
      <w:pPr>
        <w:ind w:left="785" w:hanging="360"/>
      </w:pPr>
      <w:rPr/>
    </w:lvl>
    <w:lvl w:ilvl="1">
      <w:start w:val="1"/>
      <w:numFmt w:val="lowerLetter"/>
      <w:lvlText w:val="%2."/>
      <w:lvlJc w:val="left"/>
      <w:pPr>
        <w:ind w:left="1505" w:hanging="360"/>
      </w:pPr>
      <w:rPr/>
    </w:lvl>
    <w:lvl w:ilvl="2">
      <w:start w:val="1"/>
      <w:numFmt w:val="lowerRoman"/>
      <w:lvlText w:val="%3."/>
      <w:lvlJc w:val="right"/>
      <w:pPr>
        <w:ind w:left="2225" w:hanging="180"/>
      </w:pPr>
      <w:rPr/>
    </w:lvl>
    <w:lvl w:ilvl="3">
      <w:start w:val="1"/>
      <w:numFmt w:val="decimal"/>
      <w:lvlText w:val="%4."/>
      <w:lvlJc w:val="left"/>
      <w:pPr>
        <w:ind w:left="2945" w:hanging="360"/>
      </w:pPr>
      <w:rPr/>
    </w:lvl>
    <w:lvl w:ilvl="4">
      <w:start w:val="1"/>
      <w:numFmt w:val="lowerLetter"/>
      <w:lvlText w:val="%5."/>
      <w:lvlJc w:val="left"/>
      <w:pPr>
        <w:ind w:left="3665" w:hanging="360"/>
      </w:pPr>
      <w:rPr/>
    </w:lvl>
    <w:lvl w:ilvl="5">
      <w:start w:val="1"/>
      <w:numFmt w:val="lowerRoman"/>
      <w:lvlText w:val="%6."/>
      <w:lvlJc w:val="right"/>
      <w:pPr>
        <w:ind w:left="4385" w:hanging="180"/>
      </w:pPr>
      <w:rPr/>
    </w:lvl>
    <w:lvl w:ilvl="6">
      <w:start w:val="1"/>
      <w:numFmt w:val="decimal"/>
      <w:lvlText w:val="%7."/>
      <w:lvlJc w:val="left"/>
      <w:pPr>
        <w:ind w:left="5105" w:hanging="360"/>
      </w:pPr>
      <w:rPr/>
    </w:lvl>
    <w:lvl w:ilvl="7">
      <w:start w:val="1"/>
      <w:numFmt w:val="lowerLetter"/>
      <w:lvlText w:val="%8."/>
      <w:lvlJc w:val="left"/>
      <w:pPr>
        <w:ind w:left="5825" w:hanging="360"/>
      </w:pPr>
      <w:rPr/>
    </w:lvl>
    <w:lvl w:ilvl="8">
      <w:start w:val="1"/>
      <w:numFmt w:val="lowerRoman"/>
      <w:lvlText w:val="%9."/>
      <w:lvlJc w:val="right"/>
      <w:pPr>
        <w:ind w:left="6545" w:hanging="180"/>
      </w:pPr>
      <w:rPr/>
    </w:lvl>
  </w:abstractNum>
  <w:abstractNum w:abstractNumId="17">
    <w:lvl w:ilvl="0">
      <w:start w:val="1"/>
      <w:numFmt w:val="decimal"/>
      <w:lvlText w:val="%1)"/>
      <w:lvlJc w:val="left"/>
      <w:pPr>
        <w:ind w:left="851" w:hanging="426.00000000000006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8">
    <w:lvl w:ilvl="0">
      <w:start w:val="1"/>
      <w:numFmt w:val="decimal"/>
      <w:lvlText w:val="%1)"/>
      <w:lvlJc w:val="left"/>
      <w:pPr>
        <w:ind w:left="1004" w:hanging="360"/>
      </w:pPr>
      <w:rPr/>
    </w:lvl>
    <w:lvl w:ilvl="1">
      <w:start w:val="1"/>
      <w:numFmt w:val="lowerLetter"/>
      <w:lvlText w:val="%2."/>
      <w:lvlJc w:val="left"/>
      <w:pPr>
        <w:ind w:left="1724" w:hanging="360"/>
      </w:pPr>
      <w:rPr/>
    </w:lvl>
    <w:lvl w:ilvl="2">
      <w:start w:val="1"/>
      <w:numFmt w:val="lowerRoman"/>
      <w:lvlText w:val="%3."/>
      <w:lvlJc w:val="right"/>
      <w:pPr>
        <w:ind w:left="2444" w:hanging="180"/>
      </w:pPr>
      <w:rPr/>
    </w:lvl>
    <w:lvl w:ilvl="3">
      <w:start w:val="1"/>
      <w:numFmt w:val="decimal"/>
      <w:lvlText w:val="%4."/>
      <w:lvlJc w:val="left"/>
      <w:pPr>
        <w:ind w:left="3164" w:hanging="360"/>
      </w:pPr>
      <w:rPr/>
    </w:lvl>
    <w:lvl w:ilvl="4">
      <w:start w:val="1"/>
      <w:numFmt w:val="lowerLetter"/>
      <w:lvlText w:val="%5."/>
      <w:lvlJc w:val="left"/>
      <w:pPr>
        <w:ind w:left="3884" w:hanging="360"/>
      </w:pPr>
      <w:rPr/>
    </w:lvl>
    <w:lvl w:ilvl="5">
      <w:start w:val="1"/>
      <w:numFmt w:val="lowerRoman"/>
      <w:lvlText w:val="%6."/>
      <w:lvlJc w:val="right"/>
      <w:pPr>
        <w:ind w:left="4604" w:hanging="180"/>
      </w:pPr>
      <w:rPr/>
    </w:lvl>
    <w:lvl w:ilvl="6">
      <w:start w:val="1"/>
      <w:numFmt w:val="decimal"/>
      <w:lvlText w:val="%7."/>
      <w:lvlJc w:val="left"/>
      <w:pPr>
        <w:ind w:left="5324" w:hanging="360"/>
      </w:pPr>
      <w:rPr/>
    </w:lvl>
    <w:lvl w:ilvl="7">
      <w:start w:val="1"/>
      <w:numFmt w:val="lowerLetter"/>
      <w:lvlText w:val="%8."/>
      <w:lvlJc w:val="left"/>
      <w:pPr>
        <w:ind w:left="6044" w:hanging="360"/>
      </w:pPr>
      <w:rPr/>
    </w:lvl>
    <w:lvl w:ilvl="8">
      <w:start w:val="1"/>
      <w:numFmt w:val="lowerRoman"/>
      <w:lvlText w:val="%9."/>
      <w:lvlJc w:val="right"/>
      <w:pPr>
        <w:ind w:left="6764" w:hanging="180"/>
      </w:pPr>
      <w:rPr/>
    </w:lvl>
  </w:abstractNum>
  <w:abstractNum w:abstractNumId="19">
    <w:lvl w:ilvl="0">
      <w:start w:val="1"/>
      <w:numFmt w:val="decimal"/>
      <w:lvlText w:val="%1)"/>
      <w:lvlJc w:val="left"/>
      <w:pPr>
        <w:ind w:left="851" w:hanging="426.00000000000006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0">
    <w:lvl w:ilvl="0">
      <w:start w:val="3"/>
      <w:numFmt w:val="decimal"/>
      <w:lvlText w:val="%1)"/>
      <w:lvlJc w:val="left"/>
      <w:pPr>
        <w:ind w:left="1277" w:hanging="426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1">
    <w:lvl w:ilvl="0">
      <w:start w:val="1"/>
      <w:numFmt w:val="decimal"/>
      <w:lvlText w:val="%1)"/>
      <w:lvlJc w:val="left"/>
      <w:pPr>
        <w:ind w:left="851" w:hanging="426.00000000000006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)"/>
      <w:lvlJc w:val="left"/>
      <w:pPr>
        <w:ind w:left="1440" w:hanging="360"/>
      </w:pPr>
      <w:rPr/>
    </w:lvl>
    <w:lvl w:ilvl="2">
      <w:start w:val="1"/>
      <w:numFmt w:val="lowerLetter"/>
      <w:lvlText w:val="%3)"/>
      <w:lvlJc w:val="lef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3"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smallCaps w:val="0"/>
        <w:strike w:val="0"/>
        <w:color w:val="000000"/>
        <w:sz w:val="20"/>
        <w:szCs w:val="20"/>
        <w:vertAlign w:val="baseline"/>
      </w:rPr>
    </w:lvl>
    <w:lvl w:ilvl="1">
      <w:start w:val="1"/>
      <w:numFmt w:val="decimal"/>
      <w:lvlText w:val="%2)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4">
    <w:lvl w:ilvl="0">
      <w:start w:val="1"/>
      <w:numFmt w:val="decimal"/>
      <w:lvlText w:val="%1)"/>
      <w:lvlJc w:val="left"/>
      <w:pPr>
        <w:ind w:left="1440" w:hanging="360"/>
      </w:pPr>
      <w:rPr/>
    </w:lvl>
    <w:lvl w:ilvl="1">
      <w:start w:val="1"/>
      <w:numFmt w:val="lowerLetter"/>
      <w:lvlText w:val="%2."/>
      <w:lvlJc w:val="left"/>
      <w:pPr>
        <w:ind w:left="2160" w:hanging="360"/>
      </w:pPr>
      <w:rPr/>
    </w:lvl>
    <w:lvl w:ilvl="2">
      <w:start w:val="1"/>
      <w:numFmt w:val="lowerRoman"/>
      <w:lvlText w:val="%3."/>
      <w:lvlJc w:val="right"/>
      <w:pPr>
        <w:ind w:left="2880" w:hanging="180"/>
      </w:pPr>
      <w:rPr/>
    </w:lvl>
    <w:lvl w:ilvl="3">
      <w:start w:val="1"/>
      <w:numFmt w:val="decimal"/>
      <w:lvlText w:val="%4."/>
      <w:lvlJc w:val="left"/>
      <w:pPr>
        <w:ind w:left="3600" w:hanging="360"/>
      </w:pPr>
      <w:rPr/>
    </w:lvl>
    <w:lvl w:ilvl="4">
      <w:start w:val="1"/>
      <w:numFmt w:val="lowerLetter"/>
      <w:lvlText w:val="%5."/>
      <w:lvlJc w:val="left"/>
      <w:pPr>
        <w:ind w:left="4320" w:hanging="360"/>
      </w:pPr>
      <w:rPr/>
    </w:lvl>
    <w:lvl w:ilvl="5">
      <w:start w:val="1"/>
      <w:numFmt w:val="lowerRoman"/>
      <w:lvlText w:val="%6."/>
      <w:lvlJc w:val="right"/>
      <w:pPr>
        <w:ind w:left="5040" w:hanging="180"/>
      </w:pPr>
      <w:rPr/>
    </w:lvl>
    <w:lvl w:ilvl="6">
      <w:start w:val="1"/>
      <w:numFmt w:val="decimal"/>
      <w:lvlText w:val="%7."/>
      <w:lvlJc w:val="left"/>
      <w:pPr>
        <w:ind w:left="5760" w:hanging="360"/>
      </w:pPr>
      <w:rPr/>
    </w:lvl>
    <w:lvl w:ilvl="7">
      <w:start w:val="1"/>
      <w:numFmt w:val="lowerLetter"/>
      <w:lvlText w:val="%8."/>
      <w:lvlJc w:val="left"/>
      <w:pPr>
        <w:ind w:left="6480" w:hanging="360"/>
      </w:pPr>
      <w:rPr/>
    </w:lvl>
    <w:lvl w:ilvl="8">
      <w:start w:val="1"/>
      <w:numFmt w:val="lowerRoman"/>
      <w:lvlText w:val="%9."/>
      <w:lvlJc w:val="right"/>
      <w:pPr>
        <w:ind w:left="7200" w:hanging="180"/>
      </w:pPr>
      <w:rPr/>
    </w:lvl>
  </w:abstractNum>
  <w:abstractNum w:abstractNumId="25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6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7">
    <w:lvl w:ilvl="0">
      <w:start w:val="1"/>
      <w:numFmt w:val="decimal"/>
      <w:lvlText w:val="%1)"/>
      <w:lvlJc w:val="left"/>
      <w:pPr>
        <w:ind w:left="786" w:hanging="360.00000000000006"/>
      </w:pPr>
      <w:rPr>
        <w:rFonts w:ascii="Calibri" w:cs="Calibri" w:eastAsia="Calibri" w:hAnsi="Calibri"/>
      </w:rPr>
    </w:lvl>
    <w:lvl w:ilvl="1">
      <w:start w:val="1"/>
      <w:numFmt w:val="lowerLetter"/>
      <w:lvlText w:val="%2."/>
      <w:lvlJc w:val="left"/>
      <w:pPr>
        <w:ind w:left="1506" w:hanging="360"/>
      </w:pPr>
      <w:rPr/>
    </w:lvl>
    <w:lvl w:ilvl="2">
      <w:start w:val="1"/>
      <w:numFmt w:val="lowerRoman"/>
      <w:lvlText w:val="%3."/>
      <w:lvlJc w:val="right"/>
      <w:pPr>
        <w:ind w:left="2226" w:hanging="180"/>
      </w:pPr>
      <w:rPr/>
    </w:lvl>
    <w:lvl w:ilvl="3">
      <w:start w:val="1"/>
      <w:numFmt w:val="decimal"/>
      <w:lvlText w:val="%4."/>
      <w:lvlJc w:val="left"/>
      <w:pPr>
        <w:ind w:left="2946" w:hanging="360"/>
      </w:pPr>
      <w:rPr/>
    </w:lvl>
    <w:lvl w:ilvl="4">
      <w:start w:val="1"/>
      <w:numFmt w:val="lowerLetter"/>
      <w:lvlText w:val="%5."/>
      <w:lvlJc w:val="left"/>
      <w:pPr>
        <w:ind w:left="3666" w:hanging="360"/>
      </w:pPr>
      <w:rPr/>
    </w:lvl>
    <w:lvl w:ilvl="5">
      <w:start w:val="1"/>
      <w:numFmt w:val="lowerRoman"/>
      <w:lvlText w:val="%6."/>
      <w:lvlJc w:val="right"/>
      <w:pPr>
        <w:ind w:left="4386" w:hanging="180"/>
      </w:pPr>
      <w:rPr/>
    </w:lvl>
    <w:lvl w:ilvl="6">
      <w:start w:val="1"/>
      <w:numFmt w:val="decimal"/>
      <w:lvlText w:val="%7."/>
      <w:lvlJc w:val="left"/>
      <w:pPr>
        <w:ind w:left="5106" w:hanging="360"/>
      </w:pPr>
      <w:rPr/>
    </w:lvl>
    <w:lvl w:ilvl="7">
      <w:start w:val="1"/>
      <w:numFmt w:val="lowerLetter"/>
      <w:lvlText w:val="%8."/>
      <w:lvlJc w:val="left"/>
      <w:pPr>
        <w:ind w:left="5826" w:hanging="360"/>
      </w:pPr>
      <w:rPr/>
    </w:lvl>
    <w:lvl w:ilvl="8">
      <w:start w:val="1"/>
      <w:numFmt w:val="lowerRoman"/>
      <w:lvlText w:val="%9."/>
      <w:lvlJc w:val="right"/>
      <w:pPr>
        <w:ind w:left="6546" w:hanging="180"/>
      </w:pPr>
      <w:rPr/>
    </w:lvl>
  </w:abstractNum>
  <w:abstractNum w:abstractNumId="28">
    <w:lvl w:ilvl="0">
      <w:start w:val="1"/>
      <w:numFmt w:val="bullet"/>
      <w:lvlText w:val="−"/>
      <w:lvlJc w:val="left"/>
      <w:pPr>
        <w:ind w:left="2421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3141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861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4581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5301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6021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741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7461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8181" w:hanging="360"/>
      </w:pPr>
      <w:rPr>
        <w:rFonts w:ascii="Noto Sans Symbols" w:cs="Noto Sans Symbols" w:eastAsia="Noto Sans Symbols" w:hAnsi="Noto Sans Symbols"/>
      </w:rPr>
    </w:lvl>
  </w:abstractNum>
  <w:abstractNum w:abstractNumId="29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0">
    <w:lvl w:ilvl="0">
      <w:start w:val="2"/>
      <w:numFmt w:val="decimal"/>
      <w:lvlText w:val="%1."/>
      <w:lvlJc w:val="left"/>
      <w:pPr>
        <w:ind w:left="720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1">
    <w:lvl w:ilvl="0">
      <w:start w:val="1"/>
      <w:numFmt w:val="decimal"/>
      <w:lvlText w:val="%1."/>
      <w:lvlJc w:val="left"/>
      <w:pPr>
        <w:ind w:left="425" w:hanging="425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2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3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4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6">
    <w:lvl w:ilvl="0">
      <w:start w:val="1"/>
      <w:numFmt w:val="decimal"/>
      <w:lvlText w:val="%1)"/>
      <w:lvlJc w:val="left"/>
      <w:pPr>
        <w:ind w:left="851" w:hanging="426.00000000000006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7">
    <w:lvl w:ilvl="0">
      <w:start w:val="1"/>
      <w:numFmt w:val="decimal"/>
      <w:lvlText w:val="%1."/>
      <w:lvlJc w:val="left"/>
      <w:pPr>
        <w:ind w:left="425" w:hanging="425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Default" w:customStyle="1">
    <w:name w:val="Default"/>
    <w:uiPriority w:val="99"/>
    <w:rsid w:val="003B1413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rsid w:val="003B1413"/>
    <w:rPr>
      <w:rFonts w:ascii="Times New Roman" w:cs="Times New Roman" w:hAnsi="Times New Roman"/>
      <w:position w:val="0"/>
      <w:vertAlign w:val="superscript"/>
    </w:rPr>
  </w:style>
  <w:style w:type="character" w:styleId="TekstprzypisudolnegoZnak" w:customStyle="1">
    <w:name w:val="Tekst przypisu dolnego Znak"/>
    <w:aliases w:val="Podrozdział Znak,Podrozdzia3 Znak,-E Fuﬂnotentext Znak,Fuﬂnotentext Ursprung Znak,Fußnotentext Ursprung Znak,-E Fußnotentext Znak,Fußnote Znak,Footnote text Znak,Tekst przypisu Znak Znak Znak Znak Znak1,Footnote Znak"/>
    <w:link w:val="Tekstprzypisudolnego"/>
    <w:locked w:val="1"/>
    <w:rsid w:val="003B1413"/>
    <w:rPr>
      <w:rFonts w:ascii="Times New Roman" w:cs="Times New Roman" w:hAnsi="Times New Roman"/>
      <w:kern w:val="3"/>
    </w:rPr>
  </w:style>
  <w:style w:type="paragraph" w:styleId="Tekstprzypisudolnego">
    <w:name w:val="footnote text"/>
    <w:aliases w:val="Podrozdział,Podrozdzia3,-E Fuﬂnotentext,Fuﬂnotentext Ursprung,Fußnotentext Ursprung,-E Fußnotentext,Fußnote,Footnote text,Tekst przypisu Znak Znak Znak Znak,Tekst przypisu Znak Znak Znak Znak Znak,Footnote,footnote text,Znak, Znak"/>
    <w:basedOn w:val="Normalny"/>
    <w:link w:val="TekstprzypisudolnegoZnak"/>
    <w:rsid w:val="003B1413"/>
    <w:pPr>
      <w:suppressAutoHyphens w:val="1"/>
      <w:autoSpaceDN w:val="0"/>
      <w:spacing w:after="0" w:line="240" w:lineRule="auto"/>
    </w:pPr>
    <w:rPr>
      <w:rFonts w:ascii="Times New Roman" w:cs="Times New Roman" w:eastAsia="Calibri" w:hAnsi="Times New Roman"/>
      <w:kern w:val="3"/>
      <w:sz w:val="20"/>
      <w:szCs w:val="20"/>
    </w:rPr>
  </w:style>
  <w:style w:type="character" w:styleId="FootnoteTextChar1" w:customStyle="1">
    <w:name w:val="Footnote Text Char1"/>
    <w:aliases w:val="Podrozdział Char1,Podrozdzia3 Char1,-E Fuﬂnotentext Char1,Fuﬂnotentext Ursprung Char1,Fußnotentext Ursprung Char1,-E Fußnotentext Char1,Fußnote Char1,Footnote text Char1,Tekst przypisu Znak Znak Znak Znak Char1"/>
    <w:basedOn w:val="Domylnaczcionkaakapitu"/>
    <w:uiPriority w:val="99"/>
    <w:semiHidden w:val="1"/>
    <w:rsid w:val="002A42E2"/>
    <w:rPr>
      <w:rFonts w:cs="Calibri" w:eastAsia="Times New Roman"/>
      <w:sz w:val="20"/>
      <w:szCs w:val="20"/>
      <w:lang w:eastAsia="en-US"/>
    </w:rPr>
  </w:style>
  <w:style w:type="character" w:styleId="TekstprzypisudolnegoZnak1" w:customStyle="1">
    <w:name w:val="Tekst przypisu dolnego Znak1"/>
    <w:basedOn w:val="Domylnaczcionkaakapitu"/>
    <w:uiPriority w:val="99"/>
    <w:semiHidden w:val="1"/>
    <w:rsid w:val="003B1413"/>
    <w:rPr>
      <w:rFonts w:ascii="Calibri" w:cs="Calibri" w:hAnsi="Calibri"/>
      <w:sz w:val="20"/>
      <w:szCs w:val="20"/>
    </w:rPr>
  </w:style>
  <w:style w:type="character" w:styleId="Odwoaniedokomentarza">
    <w:name w:val="annotation reference"/>
    <w:basedOn w:val="Domylnaczcionkaakapitu"/>
    <w:uiPriority w:val="99"/>
    <w:rsid w:val="003B14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3B1413"/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locked w:val="1"/>
    <w:rsid w:val="003B1413"/>
    <w:rPr>
      <w:rFonts w:ascii="Calibri" w:cs="Calibri" w:hAnsi="Calibri"/>
      <w:sz w:val="20"/>
      <w:szCs w:val="20"/>
    </w:rPr>
  </w:style>
  <w:style w:type="paragraph" w:styleId="Akapitzlist2" w:customStyle="1">
    <w:name w:val="Akapit z listą2"/>
    <w:basedOn w:val="Normalny"/>
    <w:uiPriority w:val="99"/>
    <w:rsid w:val="003B1413"/>
    <w:pPr>
      <w:ind w:left="720"/>
    </w:pPr>
  </w:style>
  <w:style w:type="paragraph" w:styleId="Akapitzlist1" w:customStyle="1">
    <w:name w:val="Akapit z listą1"/>
    <w:basedOn w:val="Normalny"/>
    <w:link w:val="ListParagraphChar"/>
    <w:uiPriority w:val="99"/>
    <w:rsid w:val="003B1413"/>
    <w:pPr>
      <w:ind w:left="720"/>
    </w:pPr>
    <w:rPr>
      <w:rFonts w:cs="Times New Roman"/>
      <w:sz w:val="20"/>
      <w:szCs w:val="20"/>
    </w:rPr>
  </w:style>
  <w:style w:type="character" w:styleId="ListParagraphChar" w:customStyle="1">
    <w:name w:val="List Paragraph Char"/>
    <w:link w:val="Akapitzlist1"/>
    <w:uiPriority w:val="99"/>
    <w:locked w:val="1"/>
    <w:rsid w:val="003B1413"/>
    <w:rPr>
      <w:rFonts w:ascii="Calibri" w:cs="Calibri" w:eastAsia="Times New Roman" w:hAnsi="Calibri"/>
    </w:rPr>
  </w:style>
  <w:style w:type="paragraph" w:styleId="Akapitzlist">
    <w:name w:val="List Paragraph"/>
    <w:basedOn w:val="Normalny"/>
    <w:link w:val="AkapitzlistZnak"/>
    <w:uiPriority w:val="34"/>
    <w:qFormat w:val="1"/>
    <w:rsid w:val="003B1413"/>
    <w:pPr>
      <w:ind w:left="720"/>
    </w:pPr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3B1413"/>
    <w:pPr>
      <w:widowControl w:val="0"/>
      <w:suppressAutoHyphens w:val="1"/>
      <w:autoSpaceDN w:val="0"/>
      <w:spacing w:after="120" w:line="240" w:lineRule="auto"/>
      <w:textAlignment w:val="baseline"/>
    </w:pPr>
    <w:rPr>
      <w:rFonts w:ascii="Times New Roman" w:cs="Times New Roman" w:hAnsi="Times New Roman"/>
      <w:kern w:val="3"/>
      <w:sz w:val="20"/>
      <w:szCs w:val="20"/>
      <w:lang w:eastAsia="pl-PL"/>
    </w:rPr>
  </w:style>
  <w:style w:type="character" w:styleId="TekstpodstawowyZnak1" w:customStyle="1">
    <w:name w:val="Tekst podstawowy Znak1"/>
    <w:basedOn w:val="Domylnaczcionkaakapitu"/>
    <w:link w:val="Tekstpodstawowy"/>
    <w:uiPriority w:val="99"/>
    <w:locked w:val="1"/>
    <w:rsid w:val="003B1413"/>
    <w:rPr>
      <w:rFonts w:ascii="Times New Roman" w:cs="Times New Roman" w:hAnsi="Times New Roman"/>
      <w:kern w:val="3"/>
      <w:sz w:val="20"/>
      <w:szCs w:val="20"/>
      <w:lang w:eastAsia="pl-PL"/>
    </w:rPr>
  </w:style>
  <w:style w:type="character" w:styleId="TekstpodstawowyZnak" w:customStyle="1">
    <w:name w:val="Tekst podstawowy Znak"/>
    <w:basedOn w:val="Domylnaczcionkaakapitu"/>
    <w:uiPriority w:val="99"/>
    <w:semiHidden w:val="1"/>
    <w:rsid w:val="003B1413"/>
    <w:rPr>
      <w:rFonts w:ascii="Calibri" w:cs="Calibri" w:hAnsi="Calibri"/>
    </w:rPr>
  </w:style>
  <w:style w:type="paragraph" w:styleId="Nagwek">
    <w:name w:val="header"/>
    <w:basedOn w:val="Normalny"/>
    <w:link w:val="NagwekZnak"/>
    <w:uiPriority w:val="99"/>
    <w:rsid w:val="003B1413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</w:rPr>
  </w:style>
  <w:style w:type="character" w:styleId="NagwekZnak" w:customStyle="1">
    <w:name w:val="Nagłówek Znak"/>
    <w:basedOn w:val="Domylnaczcionkaakapitu"/>
    <w:link w:val="Nagwek"/>
    <w:uiPriority w:val="99"/>
    <w:locked w:val="1"/>
    <w:rsid w:val="003B1413"/>
    <w:rPr>
      <w:rFonts w:ascii="Calibri" w:cs="Calibri" w:eastAsia="Times New Roman" w:hAnsi="Calibri"/>
      <w:sz w:val="20"/>
      <w:szCs w:val="20"/>
    </w:rPr>
  </w:style>
  <w:style w:type="character" w:styleId="Teksttreci2" w:customStyle="1">
    <w:name w:val="Tekst treści (2)_"/>
    <w:link w:val="Teksttreci20"/>
    <w:uiPriority w:val="99"/>
    <w:locked w:val="1"/>
    <w:rsid w:val="003B1413"/>
    <w:rPr>
      <w:shd w:color="auto" w:fill="ffffff" w:val="clear"/>
    </w:rPr>
  </w:style>
  <w:style w:type="paragraph" w:styleId="Teksttreci20" w:customStyle="1">
    <w:name w:val="Tekst treści (2)"/>
    <w:basedOn w:val="Normalny"/>
    <w:link w:val="Teksttreci2"/>
    <w:uiPriority w:val="99"/>
    <w:rsid w:val="003B1413"/>
    <w:pPr>
      <w:widowControl w:val="0"/>
      <w:shd w:color="auto" w:fill="ffffff" w:val="clear"/>
      <w:spacing w:after="240" w:before="120" w:line="240" w:lineRule="atLeast"/>
      <w:ind w:hanging="620"/>
      <w:jc w:val="center"/>
    </w:pPr>
    <w:rPr>
      <w:rFonts w:cs="Times New Roman" w:eastAsia="Calibri"/>
      <w:sz w:val="20"/>
      <w:szCs w:val="20"/>
      <w:shd w:color="auto" w:fill="ffffff" w:val="clear"/>
    </w:rPr>
  </w:style>
  <w:style w:type="character" w:styleId="AkapitzlistZnak" w:customStyle="1">
    <w:name w:val="Akapit z listą Znak"/>
    <w:link w:val="Akapitzlist"/>
    <w:uiPriority w:val="34"/>
    <w:locked w:val="1"/>
    <w:rsid w:val="003B1413"/>
    <w:rPr>
      <w:rFonts w:ascii="Calibri" w:cs="Calibri" w:eastAsia="Times New Roman" w:hAnsi="Calibri"/>
    </w:rPr>
  </w:style>
  <w:style w:type="paragraph" w:styleId="Akapitzlist3" w:customStyle="1">
    <w:name w:val="Akapit z listą3"/>
    <w:basedOn w:val="Normalny"/>
    <w:uiPriority w:val="99"/>
    <w:rsid w:val="003B1413"/>
    <w:pPr>
      <w:ind w:left="720"/>
    </w:pPr>
  </w:style>
  <w:style w:type="paragraph" w:styleId="Tekstdymka">
    <w:name w:val="Balloon Text"/>
    <w:basedOn w:val="Normalny"/>
    <w:link w:val="TekstdymkaZnak"/>
    <w:uiPriority w:val="99"/>
    <w:semiHidden w:val="1"/>
    <w:rsid w:val="003B1413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 w:val="1"/>
    <w:locked w:val="1"/>
    <w:rsid w:val="003B1413"/>
    <w:rPr>
      <w:rFonts w:ascii="Segoe UI" w:cs="Segoe UI" w:hAnsi="Segoe UI"/>
      <w:sz w:val="18"/>
      <w:szCs w:val="18"/>
    </w:rPr>
  </w:style>
  <w:style w:type="paragraph" w:styleId="Akapitzlist4" w:customStyle="1">
    <w:name w:val="Akapit z listą4"/>
    <w:basedOn w:val="Normalny"/>
    <w:uiPriority w:val="99"/>
    <w:rsid w:val="008C5EE6"/>
    <w:pPr>
      <w:ind w:left="720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 w:val="1"/>
    <w:rsid w:val="0028411D"/>
    <w:pPr>
      <w:spacing w:line="240" w:lineRule="auto"/>
    </w:pPr>
    <w:rPr>
      <w:b w:val="1"/>
      <w:bCs w:val="1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 w:val="1"/>
    <w:locked w:val="1"/>
    <w:rsid w:val="0028411D"/>
    <w:rPr>
      <w:rFonts w:ascii="Calibri" w:cs="Calibri" w:hAnsi="Calibri"/>
      <w:b w:val="1"/>
      <w:bCs w:val="1"/>
      <w:sz w:val="20"/>
      <w:szCs w:val="20"/>
    </w:rPr>
  </w:style>
  <w:style w:type="paragraph" w:styleId="Akapitzlist5" w:customStyle="1">
    <w:name w:val="Akapit z listą5"/>
    <w:basedOn w:val="Normalny"/>
    <w:uiPriority w:val="99"/>
    <w:rsid w:val="00313CCA"/>
    <w:pPr>
      <w:ind w:left="720"/>
    </w:pPr>
  </w:style>
  <w:style w:type="paragraph" w:styleId="Poprawka">
    <w:name w:val="Revision"/>
    <w:hidden w:val="1"/>
    <w:uiPriority w:val="99"/>
    <w:semiHidden w:val="1"/>
    <w:rsid w:val="00E87443"/>
    <w:rPr>
      <w:rFonts w:cs="Calibri" w:eastAsia="Times New Roman"/>
      <w:sz w:val="22"/>
      <w:szCs w:val="22"/>
      <w:lang w:eastAsia="en-US"/>
    </w:rPr>
  </w:style>
  <w:style w:type="paragraph" w:styleId="Akapitzlist6" w:customStyle="1">
    <w:name w:val="Akapit z listą6"/>
    <w:basedOn w:val="Normalny"/>
    <w:uiPriority w:val="99"/>
    <w:rsid w:val="0070179F"/>
    <w:pPr>
      <w:ind w:left="720"/>
    </w:pPr>
  </w:style>
  <w:style w:type="character" w:styleId="Hipercze">
    <w:name w:val="Hyperlink"/>
    <w:basedOn w:val="Domylnaczcionkaakapitu"/>
    <w:uiPriority w:val="99"/>
    <w:rsid w:val="005A77F3"/>
    <w:rPr>
      <w:color w:val="auto"/>
      <w:u w:val="single"/>
    </w:rPr>
  </w:style>
  <w:style w:type="paragraph" w:styleId="Akapitzlist11" w:customStyle="1">
    <w:name w:val="Akapit z listą11"/>
    <w:basedOn w:val="Normalny"/>
    <w:uiPriority w:val="99"/>
    <w:rsid w:val="00A452BE"/>
    <w:pPr>
      <w:ind w:left="720"/>
    </w:pPr>
    <w:rPr>
      <w:rFonts w:eastAsia="Calibri"/>
    </w:rPr>
  </w:style>
  <w:style w:type="paragraph" w:styleId="Textbody" w:customStyle="1">
    <w:name w:val="Text body"/>
    <w:basedOn w:val="Normalny"/>
    <w:rsid w:val="0072464C"/>
    <w:pPr>
      <w:tabs>
        <w:tab w:val="left" w:pos="900"/>
      </w:tabs>
      <w:suppressAutoHyphens w:val="1"/>
      <w:autoSpaceDN w:val="0"/>
      <w:spacing w:after="0" w:line="240" w:lineRule="auto"/>
      <w:jc w:val="both"/>
      <w:textAlignment w:val="baseline"/>
    </w:pPr>
    <w:rPr>
      <w:rFonts w:ascii="Times New Roman" w:cs="Times New Roman" w:hAnsi="Times New Roman"/>
      <w:kern w:val="3"/>
      <w:sz w:val="24"/>
      <w:szCs w:val="24"/>
      <w:lang w:eastAsia="pl-PL"/>
    </w:rPr>
  </w:style>
  <w:style w:type="paragraph" w:styleId="Standard" w:customStyle="1">
    <w:name w:val="Standard"/>
    <w:uiPriority w:val="99"/>
    <w:rsid w:val="0072464C"/>
    <w:pPr>
      <w:suppressAutoHyphens w:val="1"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character" w:styleId="object" w:customStyle="1">
    <w:name w:val="object"/>
    <w:basedOn w:val="Domylnaczcionkaakapitu"/>
    <w:rsid w:val="00704996"/>
  </w:style>
  <w:style w:type="paragraph" w:styleId="Stopka">
    <w:name w:val="footer"/>
    <w:basedOn w:val="Normalny"/>
    <w:link w:val="StopkaZnak"/>
    <w:uiPriority w:val="99"/>
    <w:unhideWhenUsed w:val="1"/>
    <w:rsid w:val="000D727A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0D727A"/>
    <w:rPr>
      <w:rFonts w:cs="Calibri" w:eastAsia="Times New Roman"/>
      <w:sz w:val="22"/>
      <w:szCs w:val="22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8+odRBVo2CHXZDf1tbuVF5jxQg==">CgMxLjAyDmguZG5kNDQ0YW56ZHRiMg5oLnJzbzljZjQ4cGN4eDIOaC5ydzV1aHRmNm9lNzIyDmgubzBrd2R3YjdneXR1Mg5oLnJrY2J5MXBlbmdnYzIOaC42Y3dpc2dubG5mM2IyDmgueTltb2piYmZ0eW56Mg5oLjRkbDM5djQ4OWZjNzIOaC40cXkwMHF1bmFxdWoyDmguNzFmd2JwN2RlNWRyMg5oLnNlajAxMzk1YXNmMjIOaC5hOWhieGk1b282MHQyDmgubWtrdDlpMmhmc2JjMg9pZC54bDk1c3JvejF4eTMyDmlkLmF4amRlNHBxd3cwMg5oLmkzajluZjF5eGlseDIOaC4xeHZyN2U4cHJ0cTEyDmguM3g2NDhsYjU0NGdpMg9pZC50d255c3o2aW83NGw4AHIhMXllRWZGLURFNnZTemM1NzhFTzE1UFFtNHI2dml5ajg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2025-12-31T07:03:00Z</dcterms:created>
  <dc:creator>Michał Łaczmański</dc:creator>
</cp:coreProperties>
</file>