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Załącznik nr 6 do regulaminu naboru do projektu pn. „Usługi rozwojowe - dotacje na szkolenia i studia podyplomowe” nr FESL.10.17-IP.02-0761/23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Umowa uczestnictwa w projekcie</w:t>
      </w:r>
    </w:p>
    <w:p w:rsidR="00000000" w:rsidDel="00000000" w:rsidP="00000000" w:rsidRDefault="00000000" w:rsidRPr="00000000" w14:paraId="00000005">
      <w:pPr>
        <w:pStyle w:val="Title"/>
        <w:spacing w:after="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współfinansowanym ze środków</w:t>
      </w:r>
    </w:p>
    <w:p w:rsidR="00000000" w:rsidDel="00000000" w:rsidP="00000000" w:rsidRDefault="00000000" w:rsidRPr="00000000" w14:paraId="00000006">
      <w:pPr>
        <w:pStyle w:val="Title"/>
        <w:spacing w:after="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Funduszu na Rzecz Sprawiedliwej Transformacji</w:t>
      </w:r>
    </w:p>
    <w:p w:rsidR="00000000" w:rsidDel="00000000" w:rsidP="00000000" w:rsidRDefault="00000000" w:rsidRPr="00000000" w14:paraId="00000007">
      <w:pPr>
        <w:pStyle w:val="Title"/>
        <w:spacing w:after="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ramach programu Fundusze Europejskie dla Śląskiego</w:t>
      </w:r>
    </w:p>
    <w:p w:rsidR="00000000" w:rsidDel="00000000" w:rsidP="00000000" w:rsidRDefault="00000000" w:rsidRPr="00000000" w14:paraId="00000008">
      <w:pPr>
        <w:pStyle w:val="Title"/>
        <w:spacing w:after="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2021-2027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after="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Nr umowy: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uczestnictwa w projekcie: </w:t>
      </w:r>
      <w:r w:rsidDel="00000000" w:rsidR="00000000" w:rsidRPr="00000000">
        <w:rPr>
          <w:b w:val="1"/>
          <w:i w:val="1"/>
          <w:rtl w:val="0"/>
        </w:rPr>
        <w:t xml:space="preserve">„</w:t>
      </w:r>
      <w:r w:rsidDel="00000000" w:rsidR="00000000" w:rsidRPr="00000000">
        <w:rPr>
          <w:b w:val="1"/>
          <w:rtl w:val="0"/>
        </w:rPr>
        <w:t xml:space="preserve">Usługi rozwojowe - dotacje na szkolenia i studia podyplomowe”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numerze </w:t>
      </w:r>
      <w:r w:rsidDel="00000000" w:rsidR="00000000" w:rsidRPr="00000000">
        <w:rPr>
          <w:b w:val="1"/>
          <w:rtl w:val="0"/>
        </w:rPr>
        <w:t xml:space="preserve">FESL.10.17-IP.02-0761/23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realizowanym w ramach Programu Fundusze Europejskie dla Śląskiego 2021-2027, współfinansowanego ze środków Funduszu na Rzecz Sprawiedliwej Transformacji,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zawarta w </w:t>
      </w:r>
      <w:r w:rsidDel="00000000" w:rsidR="00000000" w:rsidRPr="00000000">
        <w:rPr>
          <w:b w:val="1"/>
          <w:rtl w:val="0"/>
        </w:rPr>
        <w:t xml:space="preserve">Rudzie Śląskiej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pomiędzy:</w:t>
      </w:r>
    </w:p>
    <w:p w:rsidR="00000000" w:rsidDel="00000000" w:rsidP="00000000" w:rsidRDefault="00000000" w:rsidRPr="00000000" w14:paraId="0000000D">
      <w:pPr>
        <w:spacing w:after="60" w:before="240" w:lineRule="auto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Śląskim Inkubatorem Przedsiębiorczości sp. z o. o.</w:t>
      </w:r>
      <w:r w:rsidDel="00000000" w:rsidR="00000000" w:rsidRPr="00000000">
        <w:rPr>
          <w:rtl w:val="0"/>
        </w:rPr>
        <w:t xml:space="preserve"> z siedzibą w Rudzie Śląskiej, pod adresem: ul. Karola Goduli 36, 41-703 Ruda Śląska, wpisaną do rejestru przedsiębiorców KRS przez Sąd Rejonowy w Gliwicach, X Wydział Gospodarczy Krajowego Rejestru Sądowego pod numerem 0000210501,  o kapitale zakładowym w wysokości 5 773 000,00 zł, posiadającą nr NIP: 6412311445 oraz REGON: 278215736,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zwaną dalej „Operatorem”,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tl w:val="0"/>
        </w:rPr>
        <w:t xml:space="preserve">eprezentowaną przez jedną z następujących osób, uprawnionych do jej reprezentacji zgodnie z zasadami wskazanymi w KRS: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Izabelę Moczko - Prezes Zarządu,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Grzegorza Rączkę - Prokurenta.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imię i nazwisko:…………………………………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PESEL:……………………………………………….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adres zamieszkania:………………………….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tl w:val="0"/>
        </w:rPr>
        <w:t xml:space="preserve">zwaną/ym dalej „osobą uczestniczącą w projekcie”,</w:t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tl w:val="0"/>
        </w:rPr>
        <w:t xml:space="preserve">zwanymi dalej „stronami umowy”.</w:t>
      </w:r>
    </w:p>
    <w:p w:rsidR="00000000" w:rsidDel="00000000" w:rsidP="00000000" w:rsidRDefault="00000000" w:rsidRPr="00000000" w14:paraId="0000001A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b w:val="1"/>
        </w:rPr>
      </w:pPr>
      <w:bookmarkStart w:colFirst="0" w:colLast="0" w:name="_heading=h.maqwrfu7k20i" w:id="0"/>
      <w:bookmarkEnd w:id="0"/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§1.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Definicje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Ilekroć w umowie jest mowa o:</w:t>
      </w:r>
    </w:p>
    <w:p w:rsidR="00000000" w:rsidDel="00000000" w:rsidP="00000000" w:rsidRDefault="00000000" w:rsidRPr="00000000" w14:paraId="0000001E">
      <w:pPr>
        <w:numPr>
          <w:ilvl w:val="0"/>
          <w:numId w:val="21"/>
        </w:numPr>
        <w:spacing w:after="0" w:line="240" w:lineRule="auto"/>
        <w:ind w:left="426" w:hanging="426"/>
        <w:jc w:val="both"/>
        <w:rPr/>
      </w:pPr>
      <w:r w:rsidDel="00000000" w:rsidR="00000000" w:rsidRPr="00000000">
        <w:rPr>
          <w:b w:val="1"/>
          <w:rtl w:val="0"/>
        </w:rPr>
        <w:t xml:space="preserve">Biuro obsługi klienta (BOK)</w:t>
      </w:r>
      <w:r w:rsidDel="00000000" w:rsidR="00000000" w:rsidRPr="00000000">
        <w:rPr>
          <w:rtl w:val="0"/>
        </w:rPr>
        <w:t xml:space="preserve"> – miejsce, w którym jest prowadzona obsługa osób zainteresowanych uczestnictwem w projekcie, osób uczestniczących w projekcie oraz osób korzystających z usługi.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Deklaracja wyboru usług rozwojowych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dokument składany bezpośrednio do Operatora, w 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Formy wsparcia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wszelkie działania projektowe adresowane do osoby uczestniczącej w projekcie/osoby korzystającej z usługi.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Karta usługi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Mobilne biuro obsługi klienta (MBOK)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p w:rsidR="00000000" w:rsidDel="00000000" w:rsidP="00000000" w:rsidRDefault="00000000" w:rsidRPr="00000000" w14:paraId="00000023">
      <w:pPr>
        <w:numPr>
          <w:ilvl w:val="0"/>
          <w:numId w:val="21"/>
        </w:numPr>
        <w:spacing w:after="0" w:line="240" w:lineRule="auto"/>
        <w:ind w:left="425" w:hanging="425"/>
        <w:jc w:val="both"/>
        <w:rPr/>
      </w:pPr>
      <w:r w:rsidDel="00000000" w:rsidR="00000000" w:rsidRPr="00000000">
        <w:rPr>
          <w:b w:val="1"/>
          <w:rtl w:val="0"/>
        </w:rPr>
        <w:t xml:space="preserve">Negatywny wynik weryfikacji dokumentów zgłoszeniowych</w:t>
      </w:r>
      <w:r w:rsidDel="00000000" w:rsidR="00000000" w:rsidRPr="00000000">
        <w:rPr>
          <w:rtl w:val="0"/>
        </w:rPr>
        <w:t xml:space="preserve"> – sytuacja, w której dokumenty zgłoszeniowe osoby zainteresowanej uczestnictwem w projekcie zostają odrzucone przez Operatora i ta osoba nie zostaje zakwalifikowana do projektu.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4sjv8wat1rn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regionalny PSF (Operator)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odpowiedzialny za realizację projektu i dystrybucję wsparcia na rzecz osób uczestniczących w projekcie/osób korzystających z usługi, w tym w szczególności za rekrutację tych osób do projektu oraz za zawieranie z nimi umów uczestnictwa, umów wsparcia oraz rozliczanie wsparcia. </w:t>
      </w:r>
      <w:r w:rsidDel="00000000" w:rsidR="00000000" w:rsidRPr="00000000">
        <w:rPr>
          <w:rtl w:val="0"/>
        </w:rPr>
        <w:t xml:space="preserve">Operatorem w projekcie pn. „Usługi rozwojowe - dotacje na szkolenia i studia podyplomowe” jest  Śląski Inkubator Przedsiębiorczości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podpisała umowę wsparcia, biorąca udział w usłudze rozwojowej (określona w regulaminie BUR jako użytkownik).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podpisała umowę uczestnictwa w projekcie.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zainteresowana uczestnictwem w projekcie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wysłała fiszkę zgłoszeniową do projektu.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8qxi10cjb8co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zakwalifikowana do projektu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której dokumenty zgłoszeniowe zostały pozytywnie zweryfikowane przez Operatora.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współodpowiedzialny za realizację projektu Podmiotowego systemu finansowania (PSF) i dystrybucję wsparcia na rzecz osób uczestniczących w projekcie/osób korzystających z usługi, wskazany we wniosku o dofinansowanie realizacji projektu, którego łączy z Operatorem umowa partnerska.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przedsięwzięcie, o którym mowa w art. 2 pkt 22 ustawy z dnia 28 kwietnia 2022 r. o zasadach realizacji zadań finansowanych ze środków europejskich w perspektywie finansowej 2021–2027 , realizowane w ramach PSF, </w:t>
      </w:r>
      <w:r w:rsidDel="00000000" w:rsidR="00000000" w:rsidRPr="00000000">
        <w:rPr>
          <w:rtl w:val="0"/>
        </w:rPr>
        <w:t xml:space="preserve">pn. „Usługi rozwojowe - dotacje na szkolenia i studia podyplomowe” o nr  FESL.10.17-IP.02-0761/23,  w okresie od 01.07.2024 do 31.12.2026 przez Śląski Inkubator Przedsiębiorczości Sp. z o.o.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Projekt jest współfinansowany ze środków Funduszu na Rzecz Sprawiedliwej Transformacji w ramach programu Fundusze Europejskie dla Śląskiego 2021-2027, priorytetu FESL.10 Fundusze Europejskie na transformację działania FESL.10.17 Kształcenie osób dorosłych – FST.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rozwojowa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usługa: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szkoleniowa – mająca na celu nabycie, potwierdzenie lub wzrost wiedzy, umiejętności lub kompetencji usługobiorcy, w tym przygotowująca do uzyskania kwalifikacji lub umożliwiająca potwierdzenie kwalifikacji lub pozwalająca na ich rozwój;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certyfikująca – mająca na celu nadanie określonej kwalifikacji;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walidująca – mająca na celu sprawdzenie czy osoba ubiegająca się o nadanie określonej kwalifikacji, niezależnie od sposobu uczenia się tej osoby, osiągnęła wyodrębnioną część lub całość efektów uczenia się wymaganych dla tej kwalifikacji;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studia podyplomowe.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dodatkowe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wsparcie uzupełniające proces nabywania lub podnoszenia kompetencji lub kwalifikacji, obejmujące co najmniej: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zbudowanie motywacji do rozwoju umiejętności/kompetencji lub nabycia kwalifikacji;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analizie potrzeb rozwojowych, np. z wykorzystaniem modelu Bilansu kompetencji;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w wyborze odpowiednich usług rozwojowych w BUR;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identyfikacja nabytych umiejętności/kompetencji oraz wsparcie w ich walidacji i certyfikacji, w tym zachęcenie do założenia Mojego Portfolio lub konta Europass.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oznacza to niniejszą umowę.</w:t>
      </w:r>
    </w:p>
    <w:p w:rsidR="00000000" w:rsidDel="00000000" w:rsidP="00000000" w:rsidRDefault="00000000" w:rsidRPr="00000000" w14:paraId="00000036">
      <w:pPr>
        <w:spacing w:after="0" w:line="240" w:lineRule="auto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b w:val="1"/>
        </w:rPr>
      </w:pPr>
      <w:bookmarkStart w:colFirst="0" w:colLast="0" w:name="_heading=h.cki4m8dpx9aj" w:id="3"/>
      <w:bookmarkEnd w:id="3"/>
      <w:r w:rsidDel="00000000" w:rsidR="00000000" w:rsidRPr="00000000">
        <w:rPr>
          <w:b w:val="1"/>
          <w:rtl w:val="0"/>
        </w:rPr>
        <w:t xml:space="preserve">§2.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warunkach określonych w umowie Operator zobowiązuje się zapewnić osobie uczestniczącej w projekcie następujące formy wsparcia: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dofinansowanie do udziału w usłudze rozwojowej typu szkolenie/walidacja/certyfikacja lub na usługi rozwojowe typu studia podyplomowe)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dodatkowe (tj. spotkania z doradcą zawodowym i przeprowadzenie m.in. analizy potrzeb rozwojowych – np. z wykorzystaniem modelu Bilansu Kompetencji)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techniczne w obsłudze BUR.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warunkach określonych w umowie osoba uczestnicząca w projekcie zobowiązuje się do aktywnego i systematycznego udziału w formach wsparcia, o których mowa w ust. 1 pkt 1-2, przy czym minimalny poziom frekwencji na usłudze rozwojowej wynosi nie mniej niż 80%.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 oświadcza, że zapoznała się z treścią regulaminu naboru do projektu i zobowiązuje się do stosowania jego zapisów.</w:t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3.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Prawa i obowiązki Operatora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w szczególności obowiązek: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uczestniczącej w projekcie dostępu do form wsparcia wymienionych w § 2 ust. 1, z zastrzeżeniem postanowień § 3 ust. 2 umowy;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uczestniczącej w projekcie dostępu do biura projektu i biura obsługi klienta (BOK) oraz kontaktu z upoważnionym przedstawicielem merytorycznym Operatora;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uczestniczącej w projekcie właściwego standardu pomieszczeń, w których są realizowane rekrutacja i wsparcie dodatkowe, w tym przystosowania tych pomieszczeń do potrzeb osoby z niepełnosprawnościami;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weryfikacji przedłożonych przez osobę uczestniczącą w projekcie kart usług rozwojowych zgodnie z § 5 regulaminu naboru do projektu.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y3n7yvf8pha6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umowy, lub wypowiedzenie umowy przez operatora nastąpiło z przyczyn wskazanych w §5 ust. 1 pkt 2 – 7.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żądać od osoby uczestniczącej w projekcie, na każdym etapie uczestnictwa w projekcie dodatkowych dokumentów związanych z udziałem w projekcie, poświadczających złożone przez tą osobę oświadczenia.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do wypowiedzenia lub zmiany umowy na warunkach opisanych w § 5.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yxoznyqkmkct" w:id="5"/>
      <w:bookmarkEnd w:id="5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4.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84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Prawa i obowiązki osoby uczestniczącej w projekcie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 oświadcza, że na dzień podpisania umowy spełnia następujące kryteria warunkujące udział w projekcie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własnej inicjatywy chce podnosić swoje umiejętności lub kompetencje albo nabyć kwalifikacje;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osobą, która stale zamieszkuje lub pracuje na obszarze realizacji projektu;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jest przedsiębiorcą w rozumieniu art. 4 ust. 1-2 ustawy Prawo przedsiębiorców;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jest pracownikiem Operatora;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osobą pracującą w górnictwie lub branży okołogórniczej, w tym osobą, która opuściła którąś z tych branż nie wcześniej niż 1.01.2021 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przynależy do grupy osób w niekorzystnej sytuacji: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w wieku co najmniej 55 lat;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bezrobotna;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 niepełnosprawnością;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w kryzysie bezdomności lub dotknięta wykluczeniem z dostępu do mieszkań;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należąca do mniejszości, w tym społeczności marginalizowanych, takich jak np. Romowie;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 wykształceniem co najwyżej ponadgimnazjalnym.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 jest zobowiązana w szczególności do: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przestrzegania przepisów prawa powszechnego;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aktywnego udziału we wszystkich formach wsparcia, na które zostanie skierowany przez Operatora;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stosowania się do zaleceń personelu projektu, o ile nie są sprzeczne z niniejszą umową, przepisami prawa oraz zasadami współżycia społecznego;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posługiwania się nadanym przez Operatora indywidualnym numerem zgłoszeniowym każdorazowo w prowadzonej korespondencji z Operatorem;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dostarczenia do Operatora deklaracji wyboru usług rozwojowych wraz z kartami usług, z których chce skorzystać, w terminie wskazanym w § 3 ust. 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regulaminu naboru do projektu;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korzystania ze wsparcia dodatkowego, przeprowadzenia i zakończenia analizy potrzeb szkoleniowych, np.  z wykorzystaniem modelu bilansu kompetencji z doradcą zawodowym, w terminie określonym w § 4 ust. 7 regulaminu naboru do projektu;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uczestnictwa w wywiadach i ankietach prowadzonych w ramach badań ewaluacyjnych, analiz i ekspertyz;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przedstawienia – na prośbę Operatora, na każdym etapie uczestnictwa w projekcie dodatkowych dokumentów związanych z udziałem w projekcie, poświadczających złożone przez nią oświadczenia;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  <w:tab w:val="left" w:leader="none" w:pos="851"/>
          <w:tab w:val="left" w:leader="none" w:pos="1326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dostarczenia w terminie 20 dni od zakończenia udziału w projekcie wszystkich dokumentów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 informacji wskazanych przez Operatora, dotyczących udzielonego wsparcia.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  <w:tab w:val="left" w:leader="none" w:pos="851"/>
          <w:tab w:val="left" w:leader="none" w:pos="13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negatywnego wyniku oceny kart usług rozwojowych przez Operatora, osobie uczestnicząc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 w projekcie przysługuje możliwość skorzystania z procedury odwoławczej, o której mowa w § 11 regulaminu naboru do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 ma prawo do wypowiedzenia umowy na warunkach opisanych w § 5 ust. 2.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rozwiązania lub wypowiedzenia umowy uczestnictwa przed skorzystaniem ze wsparcia (dotyczy także doradztwa) i przed uzyskaniem dofinansowania, osoba uczestnicząca w projekcie ma możliwość przystąpić do projektu ponownie, ponownie składając fiszkę zgłoszeniową w kolejnym naborze.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ve2aqycnoie" w:id="6"/>
      <w:bookmarkEnd w:id="6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5.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84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Wypowiedzenie i zmiana umowy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Wypowiedzenie umowy przez Operatora może nastąpić wyłącznie z następujących powodów: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cyxeed887tlr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rozwiązanie umowy o dofinansowanie projektu realizowanego przez Operatora;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  <w:tab w:val="left" w:leader="none" w:pos="156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rażące naruszenie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przez osobę uczestniczącą w projekcie nieprawdziwych informacji w procesie rekrutacji do projektu;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powtarzająca się nieusprawiedliwiona nieobecność osoby uczestniczącej w projekcie w organizowanych formach wsparcia;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rażące naruszenie zasad współżycia społecznego, reguł organizacyjno-porządkowych lub przepisów prawa, którego dopuszcza się osoba uczestnicząca w projekcie, w związku z jej udziałem w projekcie;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niedostarczenie dokumentów, o których mowa w § 4 ust. 2 pkt 5, 7, 9 i 10.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negatywnej oceny kart usług rozwoju przez Operatora oraz spełnienia jednej z przesłanek wskazanych niżej: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braku dokonania zmiany karty usługi na inną, bez wnoszenia odwołania do IP FESL-WUP;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braku wniesienia przez osobę uczestniczącą w projekcie odwołania w terminie wynikającym z § 11 regulaminu naboru do projektu;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podjęcia w toku procedury odwoławczej decyzji, o której mowa w § 11 ust. 12 pkt 2 i 3 regulaminu naboru do projektu;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jednokrotnego dokonania zmiany karty usługi na inną, bez wnoszenia odwołania do IP FESL-WUP.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innych ważnych przyczyn, niewskazanych w pkt 1-7, jeżeli dalsza realizacja obowiązków Operatora wynikających z Umowy jest niemożliwa bądź nadmiernie utrudniona.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Wypowiedzenie niniejszej umowy przez osobę uczestniczącą w projekcie może nastąpić wyłącznie z następujących powodów: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rażące naruszenie postanowień umowy (sytuacja zagrażająca celowi umowy, działania naruszające zobowiązania umowy bez ważnych i uzasadnionych przyczyn) oraz pozostałych dokumentów, określających zasady wsparcia w ramach działania FESL.10.17 przez Operatora;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usprawiedliwiona konieczność rezygnacji z udziału w projekcie, wynikająca wyłącznie z przyczyn zdrowotnych lub losowych, których wystąpienia nie można było przewidzieć w momencie zawierania umowy.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wypowiedzenia umowy w wyniku zaistnienia przesłanek opisanych w ust. 1 pkt 1 oraz ust. 2, osoba uczestnicząca w projekcie nie ponosi żadnych konsekwencji finansowych, natomiast na Operatorze ciąży zobowiązanie wynikające z § 3 ust. 2 – jeśli istnieje ku temu podstawa.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ulega rozwiązaniu wskutek złożenia wypowiedzenia, które jest skuteczne po upływie 7 dni od dnia doręczenia drugiej stronie.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postanowień umowy jest dopuszczalna wyłącznie z przyczyn, które są konsekwencją zmiany zasad realizacji projektu i wymaga formy pisemnej.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Wypowiedzenie umowy nie jest skuteczne w zakresie, w jakim stanowi ona podstawę do przetwarzania danych osobowych.</w:t>
      </w:r>
    </w:p>
    <w:p w:rsidR="00000000" w:rsidDel="00000000" w:rsidP="00000000" w:rsidRDefault="00000000" w:rsidRPr="00000000" w14:paraId="0000008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88yqxjj4qh87" w:id="8"/>
      <w:bookmarkEnd w:id="8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6.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0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zakl7clt60g3" w:id="9"/>
      <w:bookmarkEnd w:id="9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Korespondencja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3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Wszelka korespondencja związana z realizacją umowy jest prowadzona w formie pisemnej lub za pośrednictwem poczty elektronicznej, kierowanej na poniższe adresy: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426" w:right="384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</w:t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0"/>
        </w:tabs>
        <w:spacing w:after="0" w:line="240" w:lineRule="auto"/>
        <w:ind w:left="1133" w:right="-2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ul. K. Goduli 36, 41-703 Ruda Śląska</w:t>
      </w:r>
    </w:p>
    <w:p w:rsidR="00000000" w:rsidDel="00000000" w:rsidP="00000000" w:rsidRDefault="00000000" w:rsidRPr="00000000" w14:paraId="00000088">
      <w:pPr>
        <w:widowControl w:val="0"/>
        <w:tabs>
          <w:tab w:val="left" w:leader="none" w:pos="0"/>
        </w:tabs>
        <w:spacing w:after="0" w:line="240" w:lineRule="auto"/>
        <w:ind w:left="1133" w:right="-2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adres e-mail: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projekt10.17@inkubatorsl.pl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0"/>
        </w:tabs>
        <w:spacing w:after="0" w:line="240" w:lineRule="auto"/>
        <w:ind w:left="1133" w:right="-2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384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uczestnicząca w projekcie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-2" w:hanging="0.14173228346493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(ul., numer budynku/lokalu, kod pocztowy, miejscowość)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-2" w:hanging="0.14173228346493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adres e-mail: …………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zmiany danych, o których mowa w ust. 1, strony umowy są zobowiązane do powiadomienia o tej zmianie w formie pisemnej lub za pośrednictwem poczty elektronicznej w terminie do 5 dni od dnia jej wystąpienia.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okresie obowiązywania umowy osoba korzystająca z usługi jest zobowiązana do niezwłocznego powiadamiania Operatora o wszelkich zmianach danych mających wpływ na uczestnictwo w projekcie.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uczestnicząca w projekcie zobowiązana jest do zapewnienia prawidłowego działania i regularnego (min. raz dziennie) monitorowania skrzynki poczty elektronicznej, której adres wskazano w ust. 1 pkt 2.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7.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Postanowienia końcowe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obowiązuje od dnia jej podpisania przez ostatnią ze stron do momentu realizacji wszystkich zobowiązań obydwu stron, wynikających z zapisów treści umowy.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Dopuszcza się elektroniczne podpisanie umowy uczestnictwa poprzez opatrzenie jej kwalifikowanym podpisem elektronicznym lub podpisem osobistym (e-dowód)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lub przekazanie przez Operatora umowy za pośrednictwem poczty elektronicznej w celu jej wydrukowania i podpisania przez uczestnika i odesłania do Operatora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za pośrednictwem operatora pocztowego lub podmiotu prowadzącego działalność kurierską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nieuregulowanych niniejszą umową mają zastosowanie właściwe przepisy prawa, w szczególności Kodeksu cywilnego.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Ewentualne spory związane z realizacją niniejszej umowy będą rozpoznawane przez sąd powszechny właściwy dla siedziby Operatora.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została sporządzona w dwóch egzemplarzach, po jednym dla każdej ze stron.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5vz1h181yf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</w:t>
        <w:tab/>
        <w:tab/>
        <w:tab/>
        <w:tab/>
        <w:t xml:space="preserve">………………………………..........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hanging="424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Operator (data i podpis)</w:t>
        <w:tab/>
        <w:tab/>
        <w:t xml:space="preserve">osoba uczestnicząca w projekcie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(data i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Załączniki: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zgłoszeniowy do projektu.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Niewłaściwe skreślić.</w:t>
      </w:r>
    </w:p>
  </w:footnote>
  <w:footnote w:id="1"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Skreślić, jeśli nie dotyczy.</w:t>
      </w:r>
    </w:p>
  </w:footnote>
  <w:footnote w:id="2"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Dotyczy doradztwa zawodowego.</w:t>
      </w:r>
    </w:p>
  </w:footnote>
  <w:footnote w:id="3"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Niepotrzebne skreślić.</w:t>
      </w:r>
    </w:p>
  </w:footnote>
  <w:footnote w:id="4"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Niepotrzebne skreślić.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4714875" cy="647700"/>
          <wp:effectExtent b="0" l="0" r="0" t="0"/>
          <wp:docPr descr="FE SL mono poziom br" id="4" name="image1.png"/>
          <a:graphic>
            <a:graphicData uri="http://schemas.openxmlformats.org/drawingml/2006/picture">
              <pic:pic>
                <pic:nvPicPr>
                  <pic:cNvPr descr="FE SL mono poziom b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1287" w:hanging="360.0000000000001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776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2"/>
      <w:numFmt w:val="decimal"/>
      <w:lvlText w:val="%1."/>
      <w:lvlJc w:val="left"/>
      <w:pPr>
        <w:ind w:left="720" w:hanging="360"/>
      </w:pPr>
      <w:rPr>
        <w:b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b w:val="0"/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2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ind w:left="1776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380" w:hanging="360"/>
      </w:pPr>
      <w:rPr/>
    </w:lvl>
    <w:lvl w:ilvl="1">
      <w:start w:val="0"/>
      <w:numFmt w:val="bullet"/>
      <w:lvlText w:val="●"/>
      <w:lvlJc w:val="left"/>
      <w:pPr>
        <w:ind w:left="11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20" w:hanging="180"/>
      </w:pPr>
      <w:rPr/>
    </w:lvl>
    <w:lvl w:ilvl="3">
      <w:start w:val="1"/>
      <w:numFmt w:val="decimal"/>
      <w:lvlText w:val="%4."/>
      <w:lvlJc w:val="left"/>
      <w:pPr>
        <w:ind w:left="360" w:hanging="360"/>
      </w:pPr>
      <w:rPr/>
    </w:lvl>
    <w:lvl w:ilvl="4">
      <w:start w:val="1"/>
      <w:numFmt w:val="lowerLetter"/>
      <w:lvlText w:val="%5."/>
      <w:lvlJc w:val="left"/>
      <w:pPr>
        <w:ind w:left="3260" w:hanging="360"/>
      </w:pPr>
      <w:rPr/>
    </w:lvl>
    <w:lvl w:ilvl="5">
      <w:start w:val="1"/>
      <w:numFmt w:val="lowerRoman"/>
      <w:lvlText w:val="%6."/>
      <w:lvlJc w:val="right"/>
      <w:pPr>
        <w:ind w:left="3980" w:hanging="180"/>
      </w:pPr>
      <w:rPr/>
    </w:lvl>
    <w:lvl w:ilvl="6">
      <w:start w:val="1"/>
      <w:numFmt w:val="decimal"/>
      <w:lvlText w:val="%7."/>
      <w:lvlJc w:val="left"/>
      <w:pPr>
        <w:ind w:left="4700" w:hanging="360"/>
      </w:pPr>
      <w:rPr/>
    </w:lvl>
    <w:lvl w:ilvl="7">
      <w:start w:val="1"/>
      <w:numFmt w:val="lowerLetter"/>
      <w:lvlText w:val="%8."/>
      <w:lvlJc w:val="left"/>
      <w:pPr>
        <w:ind w:left="5420" w:hanging="360"/>
      </w:pPr>
      <w:rPr/>
    </w:lvl>
    <w:lvl w:ilvl="8">
      <w:start w:val="1"/>
      <w:numFmt w:val="lowerRoman"/>
      <w:lvlText w:val="%9."/>
      <w:lvlJc w:val="right"/>
      <w:pPr>
        <w:ind w:left="6140" w:hanging="180"/>
      </w:pPr>
      <w:rPr/>
    </w:lvl>
  </w:abstractNum>
  <w:abstractNum w:abstractNumId="23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 w:val="1"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pl-PL" w:val="x-none"/>
    </w:rPr>
  </w:style>
  <w:style w:type="character" w:styleId="TekstprzypisudolnegoZnak" w:customStyle="1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cs="Times New Roman" w:eastAsia="Times New Roman" w:hAnsi="Times New Roman"/>
      <w:kern w:val="3"/>
      <w:sz w:val="20"/>
      <w:szCs w:val="20"/>
      <w:lang w:eastAsia="pl-PL" w:val="x-none"/>
    </w:rPr>
  </w:style>
  <w:style w:type="character" w:styleId="TytuZnak" w:customStyle="1">
    <w:name w:val="Tytuł Znak"/>
    <w:basedOn w:val="Domylnaczcionkaakapitu"/>
    <w:link w:val="Tytu"/>
    <w:uiPriority w:val="10"/>
    <w:rsid w:val="00DD5FCA"/>
    <w:rPr>
      <w:rFonts w:ascii="Cambria" w:cs="Times New Roman" w:eastAsia="Times New Roman" w:hAnsi="Cambria"/>
      <w:b w:val="1"/>
      <w:bCs w:val="1"/>
      <w:kern w:val="3"/>
      <w:sz w:val="32"/>
      <w:szCs w:val="32"/>
      <w:lang w:eastAsia="pl-PL"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styleId="Standard" w:customStyle="1">
    <w:name w:val="Standard"/>
    <w:uiPriority w:val="99"/>
    <w:rsid w:val="00DD5FCA"/>
    <w:pPr>
      <w:suppressAutoHyphens w:val="1"/>
      <w:autoSpaceDN w:val="0"/>
      <w:spacing w:after="0" w:line="240" w:lineRule="auto"/>
      <w:textAlignment w:val="baseline"/>
    </w:pPr>
    <w:rPr>
      <w:rFonts w:ascii="Calibri" w:cs="Calibri" w:eastAsia="Times New Roman" w:hAnsi="Calibri"/>
      <w:kern w:val="3"/>
      <w:sz w:val="24"/>
      <w:szCs w:val="24"/>
      <w:lang w:eastAsia="pl-PL"/>
    </w:rPr>
  </w:style>
  <w:style w:type="paragraph" w:styleId="Textbody" w:customStyle="1">
    <w:name w:val="Text body"/>
    <w:basedOn w:val="Standard"/>
    <w:rsid w:val="00DD5FCA"/>
    <w:pPr>
      <w:tabs>
        <w:tab w:val="left" w:pos="900"/>
      </w:tabs>
      <w:jc w:val="both"/>
    </w:pPr>
  </w:style>
  <w:style w:type="paragraph" w:styleId="Akapitzlist1" w:customStyle="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cs="Times New Roman" w:eastAsia="Times New Roman" w:hAnsi="Calibri"/>
      <w:sz w:val="20"/>
      <w:szCs w:val="20"/>
    </w:rPr>
  </w:style>
  <w:style w:type="character" w:styleId="ListParagraphChar" w:customStyle="1">
    <w:name w:val="List Paragraph Char"/>
    <w:link w:val="Akapitzlist1"/>
    <w:uiPriority w:val="99"/>
    <w:locked w:val="1"/>
    <w:rsid w:val="00DD5FCA"/>
    <w:rPr>
      <w:rFonts w:ascii="Calibri" w:cs="Times New Roman" w:eastAsia="Times New Roman" w:hAnsi="Calibri"/>
      <w:sz w:val="20"/>
      <w:szCs w:val="20"/>
    </w:rPr>
  </w:style>
  <w:style w:type="character" w:styleId="Teksttreci2" w:customStyle="1">
    <w:name w:val="Tekst treści (2)_"/>
    <w:link w:val="Teksttreci20"/>
    <w:uiPriority w:val="99"/>
    <w:locked w:val="1"/>
    <w:rsid w:val="00DD5FCA"/>
    <w:rPr>
      <w:shd w:color="auto" w:fill="ffffff" w:val="clear"/>
    </w:rPr>
  </w:style>
  <w:style w:type="paragraph" w:styleId="Teksttreci20" w:customStyle="1">
    <w:name w:val="Tekst treści (2)"/>
    <w:basedOn w:val="Normalny"/>
    <w:link w:val="Teksttreci2"/>
    <w:uiPriority w:val="99"/>
    <w:rsid w:val="00DD5FCA"/>
    <w:pPr>
      <w:widowControl w:val="0"/>
      <w:shd w:color="auto" w:fill="ffffff" w:val="clear"/>
      <w:spacing w:after="240" w:before="120" w:line="240" w:lineRule="atLeast"/>
      <w:ind w:hanging="620"/>
      <w:jc w:val="center"/>
    </w:pPr>
    <w:rPr>
      <w:shd w:color="auto" w:fill="ffffff" w:val="clear"/>
    </w:rPr>
  </w:style>
  <w:style w:type="paragraph" w:styleId="Akapitzlist2" w:customStyle="1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cs="Calibri" w:eastAsia="Times New Roman" w:hAnsi="Calibri"/>
    </w:rPr>
  </w:style>
  <w:style w:type="character" w:styleId="Odwoaniedokomentarza">
    <w:name w:val="annotation reference"/>
    <w:basedOn w:val="Domylnaczcionkaakapitu"/>
    <w:uiPriority w:val="99"/>
    <w:unhideWhenUsed w:val="1"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A7754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A7754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A77548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64F3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64F34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 w:val="1"/>
    <w:rsid w:val="00357995"/>
    <w:pPr>
      <w:ind w:left="720"/>
      <w:contextualSpacing w:val="1"/>
    </w:pPr>
  </w:style>
  <w:style w:type="paragraph" w:styleId="Akapitzlist6" w:customStyle="1">
    <w:name w:val="Akapit z listą6"/>
    <w:basedOn w:val="Normalny"/>
    <w:uiPriority w:val="99"/>
    <w:rsid w:val="00DF62A3"/>
    <w:pPr>
      <w:spacing w:after="200" w:line="276" w:lineRule="auto"/>
      <w:ind w:left="720"/>
    </w:pPr>
    <w:rPr>
      <w:rFonts w:ascii="Calibri" w:cs="Calibri" w:eastAsia="Times New Roman" w:hAnsi="Calibri"/>
    </w:rPr>
  </w:style>
  <w:style w:type="paragraph" w:styleId="NormalnyWeb">
    <w:name w:val="Normal (Web)"/>
    <w:basedOn w:val="Normalny"/>
    <w:uiPriority w:val="99"/>
    <w:semiHidden w:val="1"/>
    <w:unhideWhenUsed w:val="1"/>
    <w:rsid w:val="001F6DE2"/>
    <w:pPr>
      <w:spacing w:after="100" w:afterAutospacing="1" w:before="100" w:beforeAutospacing="1" w:line="240" w:lineRule="auto"/>
    </w:pPr>
    <w:rPr>
      <w:rFonts w:ascii="Aptos" w:cs="Aptos" w:hAnsi="Aptos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projekt10.17@inkubatorsl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r5SV9hcWvBaJksZ7ma63Go3sQ==">CgMxLjAyDmgubWFxd3JmdTdrMjBpMg5oLnM0c2p2OHdhdDFybjIOaC44cXhpMTBjamI4Y28yDmguY2tpNG04ZHB4OWFqMg5oLnkzbjd5dmY4cGhhNjIOaC55eG96bnlxa21rY3QyDmguNHZlMmFxeWNub2llMg5oLmN5eGVlZDg4N3RscjIOaC44OHlxeGpqNHFoODcyDmguemFrbDdjbHQ2MGczMg5oLmg1dnoxaDE4MXlmdjgAciExY2prdXZjOTZpN0V6dFljREx5VnlTdXJlVC1ZWHdpU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2025-09-01T11:25:00Z</dcterms:created>
  <dc:creator>Monika Kasperkiewicz</dc:creator>
</cp:coreProperties>
</file>