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after="0" w:line="240" w:lineRule="auto"/>
        <w:jc w:val="right"/>
        <w:rPr>
          <w:rFonts w:ascii="Calibri" w:cs="Calibri" w:eastAsia="Calibri" w:hAnsi="Calibri"/>
          <w:i w:val="1"/>
        </w:rPr>
      </w:pPr>
      <w:bookmarkStart w:colFirst="0" w:colLast="0" w:name="_heading=h.w11mcpevgjw3" w:id="0"/>
      <w:bookmarkEnd w:id="0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Załącznik nr 9 do regulaminu naboru do projektu </w:t>
      </w:r>
      <w:r w:rsidDel="00000000" w:rsidR="00000000" w:rsidRPr="00000000">
        <w:rPr>
          <w:i w:val="1"/>
          <w:rtl w:val="0"/>
        </w:rPr>
        <w:t xml:space="preserve">pn. </w:t>
      </w:r>
      <w:r w:rsidDel="00000000" w:rsidR="00000000" w:rsidRPr="00000000">
        <w:rPr>
          <w:rtl w:val="0"/>
        </w:rPr>
        <w:t xml:space="preserve">„Usługi rozwojowe - dotacje na szkolenia i studia podyplomowe” nr FESL.10.17-IP.02-0761/23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 WSPARCIA ROZWOJOWEGO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ramach Podmiotowego systemu finansowania usług rozwojowych (PSF)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priorytet FESL.10 Fundusze Europejskie na transformację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działanie FESL.10.17 Kształcenie osób dorosłych – FST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programu Fundusze Europejskie dla Śląskiego 2021-2027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(dla usługi typu studia podyplomowe)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ŚCIEŻKA WSPARCIA TYP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0" w:lineRule="auto"/>
        <w:jc w:val="center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Numer ewidencyjny użytkownika: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(ID wsparcia)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jc w:val="both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Nr Umowy: ………………../…..</w:t>
      </w:r>
    </w:p>
    <w:p w:rsidR="00000000" w:rsidDel="00000000" w:rsidP="00000000" w:rsidRDefault="00000000" w:rsidRPr="00000000" w14:paraId="0000000C">
      <w:pPr>
        <w:spacing w:after="240" w:lineRule="auto"/>
        <w:jc w:val="both"/>
        <w:rPr/>
      </w:pPr>
      <w:bookmarkStart w:colFirst="0" w:colLast="0" w:name="_heading=h.dcib4td8hq2r" w:id="1"/>
      <w:bookmarkEnd w:id="1"/>
      <w:r w:rsidDel="00000000" w:rsidR="00000000" w:rsidRPr="00000000">
        <w:rPr>
          <w:rtl w:val="0"/>
        </w:rPr>
        <w:t xml:space="preserve">Umowa o refundację usługi rozwojowej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, zwana dalej „umową wsparcia” lub „umową”, w ramach projektu pn.: „Usługi rozwojowe - dotacje na szkolenia i studia podyplomowe” o numerze FESL.10.17-IP.02-0761/23 realizowanym w ramach Programu Fundusze Europejskie dla Śląskiego 2021-2027, współfinansowanego ze środków Funduszu na Rzecz Sprawiedliwej Transformacji, </w:t>
      </w:r>
    </w:p>
    <w:p w:rsidR="00000000" w:rsidDel="00000000" w:rsidP="00000000" w:rsidRDefault="00000000" w:rsidRPr="00000000" w14:paraId="0000000D">
      <w:pPr>
        <w:spacing w:after="240" w:lineRule="auto"/>
        <w:jc w:val="both"/>
        <w:rPr/>
      </w:pPr>
      <w:bookmarkStart w:colFirst="0" w:colLast="0" w:name="_heading=h.dnd444anzdtb" w:id="2"/>
      <w:bookmarkEnd w:id="2"/>
      <w:r w:rsidDel="00000000" w:rsidR="00000000" w:rsidRPr="00000000">
        <w:rPr>
          <w:rtl w:val="0"/>
        </w:rPr>
        <w:t xml:space="preserve">zawarta w </w:t>
      </w:r>
      <w:r w:rsidDel="00000000" w:rsidR="00000000" w:rsidRPr="00000000">
        <w:rPr>
          <w:b w:val="1"/>
          <w:rtl w:val="0"/>
        </w:rPr>
        <w:t xml:space="preserve">Rudzie Śląskiej</w:t>
      </w:r>
      <w:r w:rsidDel="00000000" w:rsidR="00000000" w:rsidRPr="00000000">
        <w:rPr>
          <w:rtl w:val="0"/>
        </w:rPr>
        <w:t xml:space="preserve"> pomiędzy: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Śląskim Inkubatorem Przedsiębiorczości sp. z o. o.</w:t>
      </w:r>
      <w:r w:rsidDel="00000000" w:rsidR="00000000" w:rsidRPr="00000000">
        <w:rPr>
          <w:rtl w:val="0"/>
        </w:rPr>
        <w:t xml:space="preserve">, Operatorem regionalnym PSF, zwaną dalej „Operatorem”, pełniącą funkcję podmiotu realizującego działania związane z PSF, reprezentowaną przez jedną z następujących osób, uprawnionych do jej reprezentacji zgodnie z zasadami wskazanymi w KRS:</w:t>
      </w:r>
    </w:p>
    <w:p w:rsidR="00000000" w:rsidDel="00000000" w:rsidP="00000000" w:rsidRDefault="00000000" w:rsidRPr="00000000" w14:paraId="0000000F">
      <w:pPr>
        <w:numPr>
          <w:ilvl w:val="0"/>
          <w:numId w:val="30"/>
        </w:numPr>
        <w:spacing w:after="0" w:before="24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  <w:t xml:space="preserve">Izabelę Moczko - Prezes Zarządu,</w:t>
      </w:r>
    </w:p>
    <w:p w:rsidR="00000000" w:rsidDel="00000000" w:rsidP="00000000" w:rsidRDefault="00000000" w:rsidRPr="00000000" w14:paraId="00000010">
      <w:pPr>
        <w:numPr>
          <w:ilvl w:val="0"/>
          <w:numId w:val="30"/>
        </w:numPr>
        <w:spacing w:after="24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  <w:t xml:space="preserve">Grzegorza Rączkę - Prokurenta</w:t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mającą siedzibę w Rudzie Śląskiej, pod adresem: </w:t>
      </w:r>
    </w:p>
    <w:p w:rsidR="00000000" w:rsidDel="00000000" w:rsidP="00000000" w:rsidRDefault="00000000" w:rsidRPr="00000000" w14:paraId="00000012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ul. Karola Goduli 36, 41-703 Ruda Śląska, wpisaną do rejestru przedsiębiorców KRS przez Sąd Rejonowy w Gliwicach, X Wydział Gospodarczy Krajowego Rejestru Sądowego pod numerem 0000210501, o kapitale zakładowym w wysokości 5 773 000,00 zł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NIP: 6412311445 REGON: 278215736,</w:t>
      </w:r>
    </w:p>
    <w:p w:rsidR="00000000" w:rsidDel="00000000" w:rsidP="00000000" w:rsidRDefault="00000000" w:rsidRPr="00000000" w14:paraId="00000013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……………………………………………………………………………………………………………………..(imię i nazwisko osoby),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zamieszkałą/ym pod adresem: ……………………………………..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PESEL: ……………………………………………….</w:t>
      </w:r>
    </w:p>
    <w:p w:rsidR="00000000" w:rsidDel="00000000" w:rsidP="00000000" w:rsidRDefault="00000000" w:rsidRPr="00000000" w14:paraId="00000017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zwaną/-ym dalej „osobą korzystającą z usługi”,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zwanymi dalej „Stronami umowy”.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Strony umowy zgodnie postanawiają, co następuje: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1.</w:t>
      </w:r>
    </w:p>
    <w:p w:rsidR="00000000" w:rsidDel="00000000" w:rsidP="00000000" w:rsidRDefault="00000000" w:rsidRPr="00000000" w14:paraId="0000001D">
      <w:pPr>
        <w:spacing w:after="12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Definicje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Bazy usług rozwojowych (BUR)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Baza usług rozwojowych (BUR)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publikację ofert Usług rozwojowych świadczonych przez Dostawców usług wpisanych do BUR;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dokonywanie zapisów na poszczególne Usługi rozwojowe przez użytkowników (bez możliwości realizacji płatności z poziomu BUR);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zamieszczanie ogłoszeń o zapotrzebowaniu na Usługi rozwojowe;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dokonywanie oceny Usług rozwojowych zgodnie z Systemem oceny usług rozwojowych;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zapoznanie się z wynikiem ocen Usług rozwojowych dokonanych przez innych użytkowników usług.</w:t>
      </w:r>
    </w:p>
    <w:p w:rsidR="00000000" w:rsidDel="00000000" w:rsidP="00000000" w:rsidRDefault="00000000" w:rsidRPr="00000000" w14:paraId="00000025">
      <w:pPr>
        <w:spacing w:after="0" w:line="240" w:lineRule="auto"/>
        <w:ind w:left="42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skład BUR wchodzi ogólnodostępny serwis informacyjny. Dane identyfikujące Dostawcę usług, dane dotyczące Usług rozwojowych oraz oceny tych usług są udostępniane przez Administratora BUR na stronie internetowej BUR.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Biuro obsługi klienta (BOK)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miejsce, w którym jest prowadzona obsługa osób zainteresowanych uczestnictwem w projekcie, osób uczestniczących w projekcie oraz osób korzystających z usługi.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Certyfikowanie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Deklaracja wyboru usług rozwojowych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Dostawca usługi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świadczący Usługi rozwojowe, przedsiębiorca lub instytucja, prowadzący aktywną działalność, który świadczy usługi rozwojowe i dokonuje rejestracji w BUR za pomocą Karty Dostawcy Usług, w trybie określonym w regulaminie BUR.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Dzień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oznacza dzień roboczy. Za dzień roboczy uważany jest każdy dzień od poniedziałku do piątku, z wyłączeniem dni ustawowo wolnych od pracy przypadających w tym okresie.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q621l6gaaex4" w:id="3"/>
      <w:bookmarkEnd w:id="3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Formy wsparcia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wszelkie działania projektowe adresowane do osoby uczestniczącej w projekcie/osoby korzystającej z usługi.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 wsparcia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unikatowy numer wsparcia przydzielany do umowy wsparcia przez Administratora regionalnego BUR.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IP FESL-WUP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Instytucja pośrednicząca programu Fundusze Europejskie dla Śląskiego 2021-2027 – Wojewódzki Urząd Pracy w Katowicach.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Karta usługi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formularz określający zakres informacji umożliwiających publikację danej Usługi rozwojowej w BUR oraz dostępny na stronie internetowej BUR, którego wzór stanowi załącznik nr 2 do regulaminu BUR.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5" w:line="248.00000000000006" w:lineRule="auto"/>
        <w:ind w:left="426" w:hanging="426"/>
        <w:rPr/>
      </w:pPr>
      <w:r w:rsidDel="00000000" w:rsidR="00000000" w:rsidRPr="00000000">
        <w:rPr>
          <w:b w:val="1"/>
          <w:rtl w:val="0"/>
        </w:rPr>
        <w:t xml:space="preserve">Kompetencja</w:t>
      </w:r>
      <w:r w:rsidDel="00000000" w:rsidR="00000000" w:rsidRPr="00000000">
        <w:rPr>
          <w:rtl w:val="0"/>
        </w:rP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Kwalifikacja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sppxcgsrmlud" w:id="4"/>
      <w:bookmarkEnd w:id="4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Mobilne biuro obsługi klienta (MBOK)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 projekcie/osób uczestniczących w projekcie/osób korzystających z usługi. Usługi MBOK świadczone są minimum 4 razy w miesiącu.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oxe4uz5bzz7x" w:id="5"/>
      <w:bookmarkEnd w:id="5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regionalny PSF (Operator)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odpowiedzialny za realizację projektu i dystrybucję wsparcia na rzecz osób uczestniczących w projekcie/osób korzystających z usługi, w tym w szczególności za rekrutację tych osób do projektu oraz za zawieranie z nimi umów uczestnictwa, umów wsparcia oraz rozliczanie wsparcia. Operatorem w projekcie pn. </w:t>
      </w:r>
      <w:r w:rsidDel="00000000" w:rsidR="00000000" w:rsidRPr="00000000">
        <w:rPr>
          <w:rtl w:val="0"/>
        </w:rPr>
        <w:t xml:space="preserve">„Usługi rozwojowe - dotacje na szkolenia i studia podyplomowe” jest  Śląski Inkubator Przedsiębiorczości sp. z 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podpisała umowę wsparcia, biorąca udział w usłudze rozwojowej (określona w regulaminie BUR jako użytkownik).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uczestnicząca w projekcie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podpisała umowę uczestnictwa w projekcie.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zainteresowana uczestnictwem w projekcie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która wysłała fiszkę zgłoszeniową do projektu.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ohd61syufmx2" w:id="6"/>
      <w:bookmarkEnd w:id="6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zakwalifikowana do projektu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osoba fizyczna, której dokumenty zgłoszeniowe zostały pozytywnie zweryfikowane przez Operatora.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podmiot współodpowiedzialny za realizację projektu Podmiotowego systemu finansowania (PSF) i dystrybucję wsparcia na rzecz osób uczestniczących w projekcie/osób korzystających z usługi, wskazany we wniosku o dofinansowanie realizacji projektu, którego łączy z Operatorem umowa partnerska.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Podmiotowy system finansowania (PSF)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przedsięwzięcie, o którym mowa w art. 2 pkt 22 ustawy z dnia 28 kwietnia 2022 r. o zasadach realizacji zadań finansowanych ze środków europejskich w perspektywie finansowej 2021-2027, realizowane w ramach PSF, pn. </w:t>
      </w:r>
      <w:r w:rsidDel="00000000" w:rsidR="00000000" w:rsidRPr="00000000">
        <w:rPr>
          <w:rtl w:val="0"/>
        </w:rPr>
        <w:t xml:space="preserve">„Usługi rozwojowe - dotacje na szkolenia i studia podyplomowe” o nr  FESL.10.17-IP.02-0761/23,  w okresie od 01.07.2024 r. do 31.12.2026 r. przez Śląski Inkubator Przedsiębiorczości sp. z o.o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Projekt jest współfinansowany ze środków Funduszu na Rzecz Sprawiedliwej Transformacji w ramach programu Fundusze Europejskie dla Śląskiego 2021-2027, priorytetu FESL.10 Fundusze Europejskie na transformację, działanie FESL.10.17 Kształcenie osób dorosłych – FST.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Refundacja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zwrot środków za udział w usłudze rozwojowej.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Regulamin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regulamin naboru do projektu pn. </w:t>
      </w:r>
      <w:r w:rsidDel="00000000" w:rsidR="00000000" w:rsidRPr="00000000">
        <w:rPr>
          <w:rtl w:val="0"/>
        </w:rPr>
        <w:t xml:space="preserve">„Usługi rozwojowe - dotacje na szkolenia i studia podyplomowe” o nr  FESL.10.17-IP.02-0761/23.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 oceny usług rozwojowych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dokument określający zasady oceny Usług rozwojowych, dokonywanej przez użytkowników w ramach profili: użytkownika, dostawcy usług, pracodawcy, stanowiący załącznik 3 do regulaminu BUR.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 wsparcia (ścieżka wsparcia typ I)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umowa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dofinansowanie ściśle określonej liczby usług rozwojowych w ramach PSF,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zawierana pomiędzy Operatorem a osobą uczestniczącą w projekcie, określająca warunki dofinansowania, realizacji i rozliczania tych usług.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rozwojowa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usługa: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szkoleniowa – mająca na celu nabycie, potwierdzenie lub wzrost wiedzy, umiejętności lub kompetencji usługobiorcy, w tym przygotowująca do uzyskania kwalifikacji lub umożliwiająca potwierdzenie kwalifikacji lub pozwalająca na ich rozwój;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certyfikująca – mająca na celu nadanie określonej kwalifikacji;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walidująca – mająca na celu sprawdzenie czy osoba ubiegająca się o nadanie określonej kwalifikacji, niezależnie od sposobu uczenia się tej osoby, osiągnęła wyodrębnioną część lub całość efektów uczenia się wymaganych dla tej kwalifikacji;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studia podyplomowe.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Wszystkie usługi rozwojowe dofinansowane w ramach projektu muszą prowadzić do zdobycia zielonych kompetencji/kwalifikacji.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Walidacja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4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Walidacja to również sprawdzenie, czy osoba, niezależnie od sposobu uczenia się tej osoby, osiągnęła wyodrębnioną część lub całość efektów uczenia się wymaganych dla tej kompetencji.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Wkład własny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lbl1j2oz3yp2" w:id="7"/>
      <w:bookmarkEnd w:id="7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Zintegrowany Rejestr Kwalifikacji (ZRK)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Zintegrowany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 Kwalifikacji (ZSK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– wyodrębniona część Krajowego Systemu Kwalifikacji, w której obowiązują określone w ustawie z dnia 22 grudnia 2015 r. o Zintegrowanym Systemie Kwalifikacji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2.</w:t>
      </w:r>
    </w:p>
    <w:p w:rsidR="00000000" w:rsidDel="00000000" w:rsidP="00000000" w:rsidRDefault="00000000" w:rsidRPr="00000000" w14:paraId="0000004B">
      <w:pPr>
        <w:spacing w:after="12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Przedmiot umowy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warunkach określonych w umowie Operator zobowiązuje się udzielić osobie korzystającej z usługi refundacji z Funduszu na Rzecz Sprawiedliwej Transformacji za pokrycie kosztu zakupu ……..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[wpisać liczbę]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usługi rozwojowej/usług rozwojowych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zgodnej/zgodnych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 potrzebami rozwojowymi tej osoby, w łącznej wysokości ………………. zł (słownie: …………………… złotych) i stanowiącej nie więcej niż 95% całkowitych kosztów kwalifikowanych tej usługi/tych usług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nlex21hxcegt" w:id="8"/>
      <w:bookmarkEnd w:id="8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dokona zwrotu środków (za wyjątkiem wymaganego wkładu własnego) osobie korzystającej z usługi/usług po zakończeniu jej udziału w tej usłudze/usługach, dostarczeniu niezbędnych dokumentów rozliczeniowych i pozytywnym rozpatrzeniu wniosku rozliczeniowego, na konto osoby korzystającej z usługi, podane w Załączniku nr 11 do regulaminu naboru, czyli wniosku o rozliczenie usługi.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 danej usługi/ usług wynosi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nr ………………………………….................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dofinansowanie w kwocie ………… zł (słownie: ……………………… złotych);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wkład własny w kwocie …………. zł (słownie: ……………………… złotych).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Poniesienie przez osobę korzystającą z usługi kosztu w kwocie większej niż określona w ust. 3, nie stanowi podstawy do zwiększenia przyznanej kwoty dofinansowania.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zobowiązuje się do jej opłacenia w całości na rachunek bankowy dostawcy usługi z własnego rachunku bankowego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 łącznej – wynikającej z zapisów ust. 3 – wysokości …………… zł, z wyszczególnieniem w tytule przelewu ID wsparcia …………………………....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terminie do 3 dni po dokonaniu wpłaty na konto dostawcy usługi, osoba korzystająca z usługi ma obowiązek dostarczyć Operatorowi kopię faktury (bądź innego dokumentu, np. umowy z dostawcą usługi) oraz potwierdzenie zapłaty. Dokumenty te będą stanowić podstawę do zwrotu części środków (po odliczeniu wkładu własnego) osobie korzystającej z usługi, po jej ukończeniu.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poniesienia kosztów niekwalifikowalnych, o których mowa w § 4, osoba korzystająca z usługi jest zobowiązana pokryć je ze środków własnych, na zasadach określonych w umowie.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zobowiązuje się do uczestnictwa w usłudze/usługach, o której/ych mowa w ust. 3 oraz zgodnie z kartą/ami usługi, stanowiącą/cymi załącznik do deklaracji wyboru usług rozwojowych, będącej/będącymi załącznikiem/załącznikami do umowy wsparcia. Minimalny poziom frekwencji na usłudze rozwojowej wynosi 80%.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Okres realizacji usługi rozwojowej jest określony w karcie usługi/usług, stanowiącej/cych załącznik do deklaracji wyboru usług rozwojowych będącej załącznikiem do umowy.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Usługi rozwojowe muszą odbywać się poza godzinami pracy lub w dni wolne od pracy osoby biorącej udział w usłudze.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oświadcza, że zapoznała się z treścią regulaminu naboru i zobowiązuje się do stosowania jego zapisów.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3.</w:t>
      </w:r>
    </w:p>
    <w:p w:rsidR="00000000" w:rsidDel="00000000" w:rsidP="00000000" w:rsidRDefault="00000000" w:rsidRPr="00000000" w14:paraId="0000005C">
      <w:pPr>
        <w:spacing w:after="12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Koszty kwalifikowalne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Kwalifikowanie kosztu usługi rozwojowej jest możliwe w przypadku, gdy łącznie zostały spełnione poniższe warunki: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zgłoszenie na usługę zostało zrealizowane za pośrednictwem BUR z wykorzystaniem odpowiedniego ID wsparcia;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dokonano zapisu na usługę w BUR z wykorzystaniem nadanego ID wsparcia;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wybrana, za pośrednictwem BUR, usługa musi mieć zaznaczoną opcję „możliwość dofinansowania”;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została zrealizowana zgodnie z założeniami, tj. zgodnie z programem, formą, na warunkach i w wymiarze czasowym określonym w karcie usługi a osoba korzystająca z usługi zdobyła zielone kompetencje/kwalifikacje;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usługa została realizowana na terenie województwa śląskiego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0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63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usługa zakończyła się wypełnieniem ankiety oceniającej tę usługę, zgodnie z systemem oceny usług rozwojowych, oraz jej dostarczeniem przez osobę korzystającą z usługi do Operatora;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trakcie kontroli usługi (jeżeli była) nie wykazano nieprawidłowości/uchybień, które mogą świadczyć o niekwalifikowalności usługi;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wydatek został rzeczywiście poniesiony na zakup usługi;</w:t>
      </w:r>
    </w:p>
    <w:p w:rsidR="00000000" w:rsidDel="00000000" w:rsidP="00000000" w:rsidRDefault="00000000" w:rsidRPr="00000000" w14:paraId="00000066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wydatek został prawidłowo udokumentowany;</w:t>
      </w:r>
    </w:p>
    <w:p w:rsidR="00000000" w:rsidDel="00000000" w:rsidP="00000000" w:rsidRDefault="00000000" w:rsidRPr="00000000" w14:paraId="00000067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BUR zostały uzupełnione wszystkie pola dla profilu użytkownika w zakładce „Moje dane”;</w:t>
      </w:r>
    </w:p>
    <w:p w:rsidR="00000000" w:rsidDel="00000000" w:rsidP="00000000" w:rsidRDefault="00000000" w:rsidRPr="00000000" w14:paraId="00000068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minimalny poziom frekwencji na usłudze rozwojowej wyniósł nie mniej niż 80%.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wydatku poniesionego przez osobę korzystającą z usługi rozwojowej nie mają zastosowania Wytyczne dotyczące kwalifikowalności wydatków na lata 2021-2027, w szczególności wymóg stosowania zasady konkurencyjności w procesie wyboru usługi za pośrednictwem BUR.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i5o337n62svc" w:id="9"/>
      <w:bookmarkEnd w:id="9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 do zasady, cena usługi rozwojowej wskazana w dokumencie księgowym nie może być wyższa od kwoty wskazanej w karcie usługi. Niemniej jednak, jeśli sytuacja taka miałaby miejsce (w przypadku nadwyżki kwoty w związku z zastosowaniem systemu płatności ratalnych za studia podyplomowe), koszt stanowiący nadwyżkę (różnica kwoty wskazanej w dokumencie księgowym a kwoty wskazanej w karcie usługi) pokrywany jest w całości przez osobę uczestniczącą w projekcie. W przypadku gdy cena usługi rozwojowej jest niższa od kwoty wskazanej w karcie usługi, Operator dokonuje zapłaty w tej niższej kwocie, w terminie zgodnym z § 5 ust. 10.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gdy wartość usługi rozwojowej przekracza dopuszczalny poziom dofinansowania, koszt usługi w zakresie niedofinansowanym w ramach projektu ponosi osoba korzystająca z usługi.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4.</w:t>
      </w:r>
    </w:p>
    <w:p w:rsidR="00000000" w:rsidDel="00000000" w:rsidP="00000000" w:rsidRDefault="00000000" w:rsidRPr="00000000" w14:paraId="0000006F">
      <w:pPr>
        <w:spacing w:after="12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Koszty niekwalifikowalne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Koszt usługi rozwojowej poniesiony przez osobę, która przerwała udział w projekcie przed zakończeniem tej usługi, nie kwalifikuje się do dofinansowania przez Operatora.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ramach projektu nie jest możliwe kwalifikowanie kosztów usługi rozwojowej, która: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świadczona przez podmiot na rzecz swoich pracowników;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świadczona przez podmiot, z którym osoba uczestnicząca w projekcie jest powiązana kapitałowo lub osobowo, przy czym przez powiązania kapitałowe lub osobowe rozumie się w szczególności:</w:t>
      </w:r>
    </w:p>
    <w:p w:rsidR="00000000" w:rsidDel="00000000" w:rsidP="00000000" w:rsidRDefault="00000000" w:rsidRPr="00000000" w14:paraId="00000074">
      <w:pPr>
        <w:numPr>
          <w:ilvl w:val="1"/>
          <w:numId w:val="9"/>
        </w:numPr>
        <w:spacing w:after="0" w:line="240" w:lineRule="auto"/>
        <w:ind w:left="127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udział w spółce jako wspólnik spółki cywilnej lub spółki osobowej;</w:t>
      </w:r>
    </w:p>
    <w:p w:rsidR="00000000" w:rsidDel="00000000" w:rsidP="00000000" w:rsidRDefault="00000000" w:rsidRPr="00000000" w14:paraId="00000075">
      <w:pPr>
        <w:numPr>
          <w:ilvl w:val="1"/>
          <w:numId w:val="9"/>
        </w:numPr>
        <w:spacing w:after="0" w:line="240" w:lineRule="auto"/>
        <w:ind w:left="127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posiadanie co najmniej 10% udziałów lub akcji spółki, o ile niższy próg nie wynika z przepisów prawa;</w:t>
      </w:r>
    </w:p>
    <w:p w:rsidR="00000000" w:rsidDel="00000000" w:rsidP="00000000" w:rsidRDefault="00000000" w:rsidRPr="00000000" w14:paraId="00000076">
      <w:pPr>
        <w:numPr>
          <w:ilvl w:val="1"/>
          <w:numId w:val="9"/>
        </w:numPr>
        <w:spacing w:after="0" w:line="240" w:lineRule="auto"/>
        <w:ind w:left="127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pełnienie funkcji członka organu nadzorczego lub zarządzającego, prokurenta lub pełnomocnika;</w:t>
      </w:r>
    </w:p>
    <w:p w:rsidR="00000000" w:rsidDel="00000000" w:rsidP="00000000" w:rsidRDefault="00000000" w:rsidRPr="00000000" w14:paraId="00000077">
      <w:pPr>
        <w:numPr>
          <w:ilvl w:val="1"/>
          <w:numId w:val="9"/>
        </w:numPr>
        <w:spacing w:after="0" w:line="240" w:lineRule="auto"/>
        <w:ind w:left="127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:rsidR="00000000" w:rsidDel="00000000" w:rsidP="00000000" w:rsidRDefault="00000000" w:rsidRPr="00000000" w14:paraId="00000078">
      <w:pPr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jest świadczona przez podmiot pełniący funkcję Operatora lub partnera w projekcie albo przez podmiot powiązany z Operatorem lub partnerem kapitałowo lub osobowo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1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79">
      <w:pPr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jest świadczona przez podmiot pełniący funkcję Operatora lub partnera Operatora PSF w którymkolwiek regionalnym programie lub w programie Fundusze Europejskie na Rozwój Społeczny;</w:t>
      </w:r>
    </w:p>
    <w:p w:rsidR="00000000" w:rsidDel="00000000" w:rsidP="00000000" w:rsidRDefault="00000000" w:rsidRPr="00000000" w14:paraId="0000007A">
      <w:pPr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obejmuje koszty niezwiązane bezpośrednio z usługą rozwojową, w szczególności koszty środków trwałych przekazywanych osobom uczestniczącym w projekcie,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2021-2027.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§ 5.</w:t>
      </w:r>
    </w:p>
    <w:p w:rsidR="00000000" w:rsidDel="00000000" w:rsidP="00000000" w:rsidRDefault="00000000" w:rsidRPr="00000000" w14:paraId="0000007F">
      <w:pPr>
        <w:spacing w:after="12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Rozliczenie wydatków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rozlicza usługę rozwojową na podstawie złożonego przez osobę korzystającą z usługi wniosku o rozliczenie usługi rozwojowej wraz z załącznikami (o których mowa poniżej)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2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 uiszczeniem płatności Operator weryfikuje kompletność złożonych dokumentów rozliczeniowych, do których należy wniosek o rozliczenie usługi rozwojowej wraz z załącznikami: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 systemie informatycznym, tj. ID wsparcia, nazwę/tytuł usługi i numer usługi w BUR;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6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potwierdzeniem zapłaty za udział w usłudze rozwojowej;</w:t>
      </w:r>
    </w:p>
    <w:p w:rsidR="00000000" w:rsidDel="00000000" w:rsidP="00000000" w:rsidRDefault="00000000" w:rsidRPr="00000000" w14:paraId="00000084">
      <w:pPr>
        <w:numPr>
          <w:ilvl w:val="0"/>
          <w:numId w:val="16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ankietą oceniającą usługę rozwojową wypełnioną przez osobę korzystającą z usługi, wygenerowanej z BUR;</w:t>
      </w:r>
    </w:p>
    <w:p w:rsidR="00000000" w:rsidDel="00000000" w:rsidP="00000000" w:rsidRDefault="00000000" w:rsidRPr="00000000" w14:paraId="00000085">
      <w:pPr>
        <w:numPr>
          <w:ilvl w:val="0"/>
          <w:numId w:val="16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kopią świadectwa ukończenia studiów podyplomowych/kopią dokumentu potwierdzającego ukończenie usługi rozwojowej (zgodnie ze wzorem stanowiącym załącznik nr 12 do regulaminu naboru); dokument powinien zawierać tytuł usługi rozwojowej oraz identyfikatory nadane w systemie teleinformatycznym, dane osoby korzystającej z usługi (imię, nazwisko oraz nr PESEL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3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 grudnia 2015 r. o Zintegrowanym Systemie Kwalifikacji, w sposób określony w tej ustawie oraz informację czy usługa doprowadziła do uzyskania zielonych kwalifikacji/kompetencji;</w:t>
      </w:r>
    </w:p>
    <w:p w:rsidR="00000000" w:rsidDel="00000000" w:rsidP="00000000" w:rsidRDefault="00000000" w:rsidRPr="00000000" w14:paraId="00000086">
      <w:pPr>
        <w:numPr>
          <w:ilvl w:val="0"/>
          <w:numId w:val="16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kopiami dokumentów wskazanych w protokole z wizyty monitoringowej usług rozwojowych, w odniesieniu do których stwierdzono uchybienia podczas wizyty monitoringowej.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q97a83dbnsol" w:id="10"/>
      <w:bookmarkEnd w:id="1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 o rozliczenie usługi rozwojowej wraz załącznikami można złożyć elektronicznie poprzez opatrzenie go kwalifikowanym podpisem elektronicznym lub podpisem osobistym (e-dowód)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4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lub w formie papierowej (opatrzony własnoręcznym podpisem). Kopie dokumentów, o których mowa w ust. 2, muszą być potwierdzone przez osobę uczestniczącą w projekcie za zgodność z oryginałem.</w:t>
      </w:r>
    </w:p>
    <w:p w:rsidR="00000000" w:rsidDel="00000000" w:rsidP="00000000" w:rsidRDefault="00000000" w:rsidRPr="00000000" w14:paraId="00000088">
      <w:pPr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Dokumenty rozliczeniowe powinny zostać złożone do Operatora odrębnie dla każdej z usług objętych niniejszą umową w ciągu 30 dni, licząc od dnia następnego po dniu zakończenia usług, o których mowa w § 2 ust 3.</w:t>
      </w:r>
    </w:p>
    <w:p w:rsidR="00000000" w:rsidDel="00000000" w:rsidP="00000000" w:rsidRDefault="00000000" w:rsidRPr="00000000" w14:paraId="00000089">
      <w:pPr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bookmarkStart w:colFirst="0" w:colLast="0" w:name="_heading=h.po3vsr92m7c2" w:id="11"/>
      <w:bookmarkEnd w:id="11"/>
      <w:r w:rsidDel="00000000" w:rsidR="00000000" w:rsidRPr="00000000">
        <w:rPr>
          <w:rFonts w:ascii="Calibri" w:cs="Calibri" w:eastAsia="Calibri" w:hAnsi="Calibri"/>
          <w:rtl w:val="0"/>
        </w:rPr>
        <w:t xml:space="preserve">Operator weryfikuje i zatwierdza dokumenty rozliczeniowe, o których mowa w ust. 2, w terminie nie dłuższym niż 20 dni licząc od dnia następującego po dniu złożenia przez osobę korzystającą z usługi tych dokumentów. Bieg terminu na weryfikację i zatwierdzenie dokumentów rozliczeniowych zostaje zawieszony w przypadku potrzeby uzyskania dodatkowych wyjaśnień, uzupełnienia lub korekt w zakresie dokumentów rozliczeniowych, lub potrzeby wyjaśnienia kwalifikowalności wydatku. Bieg terminu ulega zawieszeniu z chwilą wystąpienia Operatora do osoby korzystającej z usługi, która jest zobowiązana do uzupełnienia dokumentów lub złożenia wyjaśnień, celem dalszego procedowania z dokumentami rozliczeniowymi. Z chwilą przekazania uzupełnienia, bieg terminu zostaje odwieszony, Operator dysponuje jedynie tą częścią terminu, której nie wykorzystał do momentu zawieszenia biegu terminu.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stwierdzenia braków formalnych lub konieczności złożenia wyjaśnień do złożonych przez osobę uczestniczącą w projekcie dokumentów rozliczeniowych, osoba ta jest wezwana do ich uzupełnienia lub złożenia dodatkowych wyjaśnień za pośrednictwem poczty elektronicznej, w wyznaczonym przez Operatora terminie z zastrzeżeniem, że nie może być on krótszy niż 3 dni. Termin liczy się od dnia następującego po dniu wysłania wezwania.</w:t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Operator co do zasady jednokrotnie wzywa osobę uczestniczącą w projekcie do uzupełnienia braków formalnych lub złożenia wyjaśnień do złożonych przez tę osobę dokumentów rozliczeniowych, co oznacza, że Operator powinien wezwać w sposób kompleksowy, tj. w wezwaniu wskazać wszystkie błędy, braki i wady w złożonych dokumentach. Operator może wezwać po raz kolejny w zakresie kwestii wymagających dalszego wyjaśnienia, po uzupełnieniu dokumentów.</w:t>
      </w:r>
    </w:p>
    <w:p w:rsidR="00000000" w:rsidDel="00000000" w:rsidP="00000000" w:rsidRDefault="00000000" w:rsidRPr="00000000" w14:paraId="0000008C">
      <w:pPr>
        <w:numPr>
          <w:ilvl w:val="0"/>
          <w:numId w:val="8"/>
        </w:numPr>
        <w:spacing w:after="0" w:line="240" w:lineRule="auto"/>
        <w:ind w:left="426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Rozliczenie usługi rozwojowej następuje na podstawie i na warunkach określonych w umowie wsparcia oraz w karcie usługi.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9l742poiex81" w:id="12"/>
      <w:bookmarkEnd w:id="1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nie dokona rozliczenia usługi, która prowadzi do zdobycia kwalifikacji, w przypadku braku uzyskania kwalifikacji opisanych w karcie usługi przez osobę korzystającą z usługi. W przypadku zawarcia umowy wsparcia obejmującej kilka usług zasady rozliczania usług wyglądają następująco: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osoba korzystająca z usługi nie wskazała w fiszce, że usługa będzie prowadziła do nabycia kwalifikacji (za co nie otrzymała dodatkowych punktów na etapie rekrutacji), Operator rozlicza usługi w kolejności składania poprawnych wniosków o rozliczenie;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osoba korzystająca z usługi wskazała w fiszce, że usługa będzie prowadziła do nabycia kwalifikacji ( za co otrzymała dodatkowe punkty na etapie rekrutacji), Operator w pierwszej kolejności musi rozliczyć tę usługę, która prowadzi do nabycia kwalifikacji (pod warunkiem ich uzyskania przez osobę korzystającą z usługi). W przypadku braku możliwość rozliczenia przynajmniej jednej usługi prowadzącej do nabycia kwalifikacji, z uwagi na nieuzyskanie kwalifikacji (tj. brak formalnego potwierdzenia ich uzyskania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 nie dokona również płatności za inne usługi.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bookmarkStart w:colFirst="0" w:colLast="0" w:name="_heading=h.xhz9s15oe5yz" w:id="13"/>
      <w:bookmarkEnd w:id="13"/>
      <w:r w:rsidDel="00000000" w:rsidR="00000000" w:rsidRPr="00000000">
        <w:rPr>
          <w:rFonts w:ascii="Calibri" w:cs="Calibri" w:eastAsia="Calibri" w:hAnsi="Calibri"/>
          <w:rtl w:val="0"/>
        </w:rPr>
        <w:t xml:space="preserve">Po zatwierdzeniu otrzymanych kompletnych dokumentów rozliczeniowych, Operator zwraca osobie korzystającej z usługi część kosztu usługi wynikającą z rachunku/faktury, określoną w umowie jako dofinansowanie, w terminie nie dłuższym niż 5 dni licząc od dnia następnego po dniu zatwierdzenia tych dokumentów, na konto wskazane przez osobę korzystającą z usługi w Załączniku nr 11 do regulaminu naboru, czyli wniosku o rozliczenie usługi (pod warunkiem dostępności środków na rachunku bankowym Operatora).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Wartość łącznych płatności wynikających z wniosków o rozliczenie usług rozwojowych nie może przekroczyć wartości określonej w § 2 ust. 1 umowy wsparcia.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Operator nie dokonuje płatności na rzecz osoby korzystającej z usługi w przypadku:</w:t>
      </w:r>
    </w:p>
    <w:p w:rsidR="00000000" w:rsidDel="00000000" w:rsidP="00000000" w:rsidRDefault="00000000" w:rsidRPr="00000000" w14:paraId="00000093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niezłożenia przez osobę korzystającą z usługi, w wyznaczonym przez Operatora terminie, wymaganych wyjaśnień lub nieusunięcia braków w dokumentacji rozliczeniowej;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mniejszej niż 80% frekwencji na usłudze rozwojowej;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niezłożenia przez osobę korzystającą z usługi, w wyznaczonym przez Operatora terminie, skorygowanej deklaracji wyboru usług rozwojowych albo niezłożenia wymaganych wyjaśnień lub nieusunięcia braków w złożonych dokumentach;</w:t>
      </w:r>
    </w:p>
    <w:p w:rsidR="00000000" w:rsidDel="00000000" w:rsidP="00000000" w:rsidRDefault="00000000" w:rsidRPr="00000000" w14:paraId="00000096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niewypełnienia ankiety oceniającej usługę, o której mowa w ust. 2 pkt 3;</w:t>
      </w:r>
    </w:p>
    <w:p w:rsidR="00000000" w:rsidDel="00000000" w:rsidP="00000000" w:rsidRDefault="00000000" w:rsidRPr="00000000" w14:paraId="00000097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utrudniania przez osobę korzystającą z usługi wykonywania czynności kontrolnych;</w:t>
      </w:r>
    </w:p>
    <w:p w:rsidR="00000000" w:rsidDel="00000000" w:rsidP="00000000" w:rsidRDefault="00000000" w:rsidRPr="00000000" w14:paraId="00000098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niewykonania przez osobę korzystającą z usługi zaleceń pokontrolnych;</w:t>
      </w:r>
    </w:p>
    <w:p w:rsidR="00000000" w:rsidDel="00000000" w:rsidP="00000000" w:rsidRDefault="00000000" w:rsidRPr="00000000" w14:paraId="00000099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gdy wizyta monitoringowa (jeżeli była) wykaże uchybienia, które będą podstawą do uznania usługi za niekwalifikowalną;</w:t>
      </w:r>
    </w:p>
    <w:p w:rsidR="00000000" w:rsidDel="00000000" w:rsidP="00000000" w:rsidRDefault="00000000" w:rsidRPr="00000000" w14:paraId="0000009A">
      <w:pPr>
        <w:numPr>
          <w:ilvl w:val="0"/>
          <w:numId w:val="17"/>
        </w:numPr>
        <w:spacing w:after="0" w:line="240" w:lineRule="auto"/>
        <w:ind w:left="851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gdy osoba korzystająca z usługi nie uzyska kwalifikacji opisanych w karcie usługi, z uwzględnieniem zapisów ust. 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braku dokonania płatności, o której mowa w ust. 11, Operator zawiadamia, wraz ze wskazaniem przyczyny, osobę korzystającą z usługi za pośrednictwem poczty elektronicznej.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Uruchomienie płatności następuje po usunięciu lub wyjaśnieniu przyczyn wymienionych w ust. 11, w terminie określonym w ust. 9.</w:t>
      </w:r>
    </w:p>
    <w:p w:rsidR="00000000" w:rsidDel="00000000" w:rsidP="00000000" w:rsidRDefault="00000000" w:rsidRPr="00000000" w14:paraId="0000009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ramach projektu jest niedozwolone podwójne finansowanie wydatków, co oznacza w szczególności:</w:t>
      </w:r>
    </w:p>
    <w:p w:rsidR="00000000" w:rsidDel="00000000" w:rsidP="00000000" w:rsidRDefault="00000000" w:rsidRPr="00000000" w14:paraId="0000009E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całkowite lub częściowe, więcej niż jednokrotne poświadczenie, zrefundowanie lub rozliczenie tego samego wydatku w ramach dofinansowania lub wkładu własnego tego samego lub różnych projektów współfinansowanych ze środków europejskich lub/oraz dotacji z krajowych środków publicznych;</w:t>
      </w:r>
    </w:p>
    <w:p w:rsidR="00000000" w:rsidDel="00000000" w:rsidP="00000000" w:rsidRDefault="00000000" w:rsidRPr="00000000" w14:paraId="0000009F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otrzymanie na wydatki kwalifikowalne bezzwrotnej pomocy finansowej z kilku źródeł (krajowych, unijnych lub innych) w wysokości łącznie przekraczającej 100% wydatków kwalifikowalnych usługi rozwojowej.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6.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Kontrola i monitoring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 i wyjaśnień związanych z realizacją usługi rozwojowej, w terminie określonym w wezwaniu.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44u9zsc4sr4i" w:id="14"/>
      <w:bookmarkEnd w:id="14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zobowiązuje się do niezwłocznego, e-mailowego informowania Operatora o trudnościach w realizacji usługi oraz o harmonogramie realizacji usługi (w tym miejsca faktycznej realizacji usługi), jego zmianach, o ile harmonogram nie jest rozpisany w karcie usługi.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Kontrola, o której mowa w ust. 1, może być przeprowadzona w okresie realizacji projektu.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Kontrola jest prowadzona: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dokumentach;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miejscu realizacji usługi rozwojowej (wizyta monitoringowa);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usług zdalnych wizyta monitoringowa odbywa się poprzez dołączenie Operatora do szkolenia (za pośrednictwem udostępnionego przez osobę korzystającą z usługi linku do spotkania) oraz na podstawie generowanego z danej platformy, przez właściwe oprogramowanie, raportu aktywności użytkowników.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Kontrola w siedzibie Operatora jest prowadzona na podstawie dokumentów rozliczeniowych określonych w § 5 ust. 2, dostarczonych przez osobę korzystającą z usługi i obejmuje sprawdzenie czy usługa została zrealizowana i rozliczona zgodnie z warunkami umowy.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trakcie prowadzenia wizyty monitoringowej sporządza się listę sprawdzającą, która na koniec wizyty podpisywana jest przez osoby kontrolujące, osobę korzystającą z usługi oraz osobę/ osoby prowadzące usługę. Na podstawie listy sprawdzającej sporządzany jest protokół z wizyty monitoringowej. Protokół jest przesyłany do osoby korzystającej z usługi w terminie do 7 dni licząc od dnia następnego po dniu wizyty monitoringowej. Protokół zawiera opis przebiegu wizyty monitoringowej, stwierdza uchybienia i konieczność wyjaśnień (jeśli dotyczy).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Utrudnianie lub uniemożliwienie realizacji uprawnień podmiotów kontrolujących może być traktowane jako odmowa poddania się kontroli, co może skutkować rozwiązaniem u</w:t>
      </w:r>
      <w:bookmarkStart w:colFirst="0" w:colLast="0" w:name="bookmark=id.eo8x0ws0hgj9" w:id="15"/>
      <w:bookmarkEnd w:id="15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mowy.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7.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Zwrot środków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na podstawie czynności związanych z rozliczeniem usługi rozwojowej lub czynności kontrolnych uprawnionych organów zostanie stwierdzone, że: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dofinansowanie zostało wykorzystane w całości lub części niezgodnie z przeznaczeniem;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dofinansowanie zostało wykorzystane z naruszeniem procedur, o których mowa w art. 184 ustawy z dnia 27 sierpnia 2009 r. o finansach publicznych;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otrzymała dofinansowanie na pokrycie kosztów zakupu tej usługi w sposób nienależny lub w nadmiernej wysokości;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korzystająca z usługi złożyła dokumenty stwierdzające nieprawdę w celu uzyskania dofinansowania w ramach umowy na pokrycie kosztów zakupu usługi,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 wzywa tę osobę do zwrotu całości lub części dofinansowania wraz z odsetkami w wysokości określonej jak dla zaległości podatkowych, liczonymi od dnia przekazania środków.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Odsetki, o których mowa w ust. 1, naliczane są zgodnie z art. 207 ust. 1 ustawy z dnia 27 sierpnia 2009 r. o finansach publicznych.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korzystająca z usługi opisuje przelew zwracanych środków zgodnie z zaleceniami Operatora.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 nie jest zobowiązany do ponoszenia udokumentowanych kosztów działań windykacyjnych, podejmowanych wobec osoby korzystającej z usługi w związku z uczestnictwem w tej usłudze.</w:t>
      </w:r>
      <w:bookmarkStart w:colFirst="0" w:colLast="0" w:name="bookmark=id.zb6yxk24kg0a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8.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Zmiany umowy</w:t>
      </w:r>
    </w:p>
    <w:p w:rsidR="00000000" w:rsidDel="00000000" w:rsidP="00000000" w:rsidRDefault="00000000" w:rsidRPr="00000000" w14:paraId="000000BE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  <w:highlight w:val="white"/>
        </w:rPr>
      </w:pPr>
      <w:bookmarkStart w:colFirst="0" w:colLast="0" w:name="_heading=h.599ppndii26r" w:id="17"/>
      <w:bookmarkEnd w:id="17"/>
      <w:r w:rsidDel="00000000" w:rsidR="00000000" w:rsidRPr="00000000">
        <w:rPr>
          <w:rFonts w:ascii="Calibri" w:cs="Calibri" w:eastAsia="Calibri" w:hAnsi="Calibri"/>
          <w:rtl w:val="0"/>
        </w:rPr>
        <w:t xml:space="preserve">Umowę należy każdorazowo zmienić, w drodze aneksu, w przypadku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zmiany kwot, o których mowa w § 2 ust. 1, 3 i 5;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zmiany numeru karty usługi rozwojowej zgodnie z § 2 ust.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Osoba korzystająca z usługi ma obowiązek niezwłocznie poinformować Operatora o zaistniałej zmianie w harmonogramie lub miejscu realizacji tej usługi nie później niż 24 godziny przed terminem jej rozpoczęcia oraz złożyć aktualną deklarację wyboru usług rozwojowych wraz z kartą usługi, jeżeli następuje zmiana danych zawartych w tej deklaracji. Zmiana taka nie wymaga sporządzenia aneksu do umowy wsparcia.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  <w:tab w:val="left" w:leader="none" w:pos="851"/>
        </w:tabs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vlbmy8sytp9z" w:id="18"/>
      <w:bookmarkEnd w:id="18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braku możliwości zapisu na usługę (odwołana usługa, brak miejsc, sytuacja losowa osoby korzystającej z usługi, która jest zgłoszona Operatorowi) – dopuszcza się złożenie korekty deklaracji wyboru usługi zawierającej nową usługę, z zakresu tego samego obszaru tematycznego, na jaką została podpisana umowa – w nieprzekraczalnym terminie 10 dni od zaistnienia ww. sytuacji. Zmiana usługi wymaga sporządzenia aneksu umowy wsparcia.</w:t>
      </w:r>
    </w:p>
    <w:p w:rsidR="00000000" w:rsidDel="00000000" w:rsidP="00000000" w:rsidRDefault="00000000" w:rsidRPr="00000000" w14:paraId="000000C4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Osoba korzystająca z usługi ma obowiązek niezwłocznie poinformować Operatora o zaistniałej zmianie w formularzu zgłoszeniowym uczestnika.</w:t>
      </w:r>
    </w:p>
    <w:p w:rsidR="00000000" w:rsidDel="00000000" w:rsidP="00000000" w:rsidRDefault="00000000" w:rsidRPr="00000000" w14:paraId="000000C5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braku powiadomienia Operatora o zmianie, o której mowa w ust. 2 i ust. 3, Operator może nie uiścić zapłaty na rzecz osoby korzystającej z usługi.</w:t>
      </w:r>
    </w:p>
    <w:p w:rsidR="00000000" w:rsidDel="00000000" w:rsidP="00000000" w:rsidRDefault="00000000" w:rsidRPr="00000000" w14:paraId="000000C6">
      <w:pPr>
        <w:numPr>
          <w:ilvl w:val="0"/>
          <w:numId w:val="29"/>
        </w:numPr>
        <w:spacing w:after="0" w:line="240" w:lineRule="auto"/>
        <w:ind w:left="425" w:hanging="425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Zmiany wynikające ze zmian w treści Regulaminu naboru do projektu nie wymagają aneksowania przedmiotowej umowy.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9.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Rozwiązanie umowy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 może rozwiązać umowę wsparcia bez zachowania okresu wypowiedzenia, jeżeli osoba korzystająca z usługi: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wykorzystała w całości lub części przekazane środki niezgodnie z przeznaczeniem;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złożyła stwierdzający nieprawdę dokument w celu uzyskania dofinansowania;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otrzymała wsparcie na pokrycie kosztów zakupu usługi rozwojowej nienależnie lub w nadmiernej wysokości;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wykorzystała środki z naruszeniem procedur, o których mowa w art. 184 ustawy z dnia 27 sierpnia 2009 r. o finansach publicznych;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nie dostarczy Operatorowi kopii faktury (bądź innego dokumentu, np. umowy z dostawcą usługi) oraz potwierdzenie zapłaty, o których mowa w § 2 ust. 6;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nie przedłożyła, zgodnie z umową, wniosku o rozliczenie usługi wraz z załącznikami;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sposób uporczywy uchyla się od wykonywania obowiązków, o których mowa w § 6 ust. 1;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nie uczestniczy w usłudze wskazanej w aktualnej deklaracji wyboru usług rozwojowych;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koszt usługi został uznany za niekwalifikowalny na etapie weryfikacji wniosku o rozliczenie.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razie rozwiązania umowy osobie korzystającej z usługi nie przysługuje odszkodowanie.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Umowa może zostać rozwiązana przez każdą ze stron w przypadku wystąpienia okoliczności, które uniemożliwiają lub nadmiernie utrudniają dalsze wykonywanie postanowień zawartych w umowie, z zachowaniem siedmiodniowego terminu wypowiedzenia.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przypadku rozwiązania umowy na podstawie ust. 1 pkt 1-4, osoba korzystająca z usługi zobowiązuje się do zwrotu całości lub części dofinansowania wraz z odsetkami w wysokości określonej jak dla zaległości podatkowych, na warunkach określonych w § 7 ust. 2 i 3.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Rozwiązanie umowy na podstawie ust. 1 powoduje jednoczesne rozwiązanie umowy uczestnictwa.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heading=h.cgssku66qwys" w:id="19"/>
      <w:bookmarkEnd w:id="19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Rozwiązanie umowy nie jest skuteczne w zakresie, w jakim stanowi ona podstawę do przetwarzania danych osobowych.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1</w:t>
      </w:r>
      <w:bookmarkStart w:colFirst="0" w:colLast="0" w:name="bookmark=id.wg7pbc4nggap" w:id="20"/>
      <w:bookmarkEnd w:id="2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Korespondencja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Wszelka korespondencja związana z realizacją umowy jest prowadzona w formie pisemnej lub za pośrednictwem poczty elektronicznej, kierowanej na poniższe adresy: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426" w:right="384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Operator:</w:t>
      </w:r>
    </w:p>
    <w:p w:rsidR="00000000" w:rsidDel="00000000" w:rsidP="00000000" w:rsidRDefault="00000000" w:rsidRPr="00000000" w14:paraId="000000DE">
      <w:pPr>
        <w:widowControl w:val="0"/>
        <w:tabs>
          <w:tab w:val="left" w:leader="none" w:pos="0"/>
        </w:tabs>
        <w:spacing w:after="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ab/>
        <w:tab/>
        <w:t xml:space="preserve">ul. K. Goduli 36, 41-703 Ruda Śląska</w:t>
      </w:r>
    </w:p>
    <w:p w:rsidR="00000000" w:rsidDel="00000000" w:rsidP="00000000" w:rsidRDefault="00000000" w:rsidRPr="00000000" w14:paraId="000000DF">
      <w:pPr>
        <w:widowControl w:val="0"/>
        <w:tabs>
          <w:tab w:val="left" w:leader="none" w:pos="0"/>
        </w:tabs>
        <w:spacing w:after="0" w:line="276" w:lineRule="auto"/>
        <w:ind w:left="1560" w:hanging="4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adres e-mail: </w:t>
      </w:r>
      <w:r w:rsidDel="00000000" w:rsidR="00000000" w:rsidRPr="00000000">
        <w:rPr>
          <w:color w:val="1155cc"/>
          <w:highlight w:val="white"/>
          <w:rtl w:val="0"/>
        </w:rPr>
        <w:t xml:space="preserve">projekt10.17@inkubatorsl.pl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384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uczestnicząca w projekcie: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-2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(ul., numer budynku/lokalu, kod pocztowy, miejscowość)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134" w:right="-2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adres e-mail: …………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przypadku zmiany danych, o których mowa w ust. 1, strony umowy są zobowiązane do powiadomienia o tej zmianie w formie pisemnej lub za pośrednictwem poczty elektronicznej w terminie do 5 dni od dnia jej wystąpienia.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okresie obowiązywania umowy osoba korzystająca z usługi jest zobowiązana do niezwłocznego powiadamiania Operatora o wszelkich zmianach danych mających wpływ na uczestnictwo w projekcie.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Osoba uczestnicząca w projekcie zobowiązana jest do zapewnienia prawidłowego działania i regularnego (min. raz dziennie) monitorowania skrzynki poczty elektronicznej, której adres wskazano w ust. 1 pkt 2.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§ 11.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Postanowienia końcowe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Spory związane z realizacją umowy strony będą starały się rozwiązać polubownie.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przypadku nierozwiązania sporu w drodze polubownej, sprawa jest rozstrzygana przez sąd powszechny właściwy dla siedziby Operatora.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Umowa została sporządzona w dwóch jednobrzmiących egzemplarzach, po jednym dla Operatora i osoby korzystającej z usługi.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Dopuszcza się elektroniczne podpisanie umowy wsparcia poprzez opatrzenie jej kwalifikowanym podpisem elektronicznym lub podpisem osobistym (e-dowód)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lub przekazanie przez Operatora umowy za pośrednictwem poczty elektronicznej w celu jej wydrukowania i podpisania przez uczestnika i odesłania do Operatora za pośrednictwem operatora pocztowego lub podmiotu prowadzącego działalność kurierską.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Umowa obowiązuje od dnia jej podpisania przez ostatnią ze stron do momentu realizacji wszystkich zobowiązań obydwu stron, wynikających z zapisów treści umowy.</w:t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</w:t>
        <w:tab/>
        <w:tab/>
        <w:tab/>
        <w:tab/>
        <w:t xml:space="preserve">………………………………..........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hanging="4247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Operator (data i podpis)</w:t>
        <w:tab/>
        <w:tab/>
        <w:t xml:space="preserve">osoba uczestnicząca w projekcie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(data i 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Załączniki: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deklaracja wyboru usług rozwojowych.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8" w:top="1134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Strona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16"/>
        <w:szCs w:val="16"/>
        <w:u w:val="none"/>
        <w:shd w:fill="auto" w:val="clear"/>
        <w:vertAlign w:val="baseline"/>
        <w:rtl w:val="0"/>
      </w:rPr>
      <w:t xml:space="preserve">Strona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2"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Definicja certyfikowania zgodna z art. 2 pkt 1 ustawy z dnia 22 grudnia 2015 r. o Zintegrowanym Systemie Kwalifikacji (Dz.U. z 2020 r. poz. 226 z późn. zm.).</w:t>
      </w:r>
    </w:p>
  </w:footnote>
  <w:footnote w:id="3"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Definicja kwalifikacji zgodna z art. 2 pkt 8 ustawy z dnia 22 grudnia 2015 r. o Zintegrowanym Systemie Kwalifikacji.</w:t>
      </w:r>
    </w:p>
  </w:footnote>
  <w:footnote w:id="4"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Definicja walidacji zgodna z art. 2 pkt 22 ustawy z dnia 22 grudnia 2015 r. o Zintegrowanym Systemie Kwalifikacji. </w:t>
      </w:r>
    </w:p>
  </w:footnote>
  <w:footnote w:id="5"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Jak wyżej.</w:t>
      </w:r>
    </w:p>
  </w:footnote>
  <w:footnote w:id="6"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Jak wyżej.</w:t>
      </w:r>
    </w:p>
  </w:footnote>
  <w:footnote w:id="7"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Jak wyżej.</w:t>
      </w:r>
    </w:p>
  </w:footnote>
  <w:footnote w:id="8"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Wyszczególnić każdą usługę objętą umową.</w:t>
      </w:r>
    </w:p>
  </w:footnote>
  <w:footnote w:id="9"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Dopuszczalna jest również wpłata z konta bankowego, do którego osoba uczestnicząca w projekcie posiada status współposiadacza konta. Dopuszczalne jest również przyjmowanie wpłat 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0">
    <w:p w:rsidR="00000000" w:rsidDel="00000000" w:rsidP="00000000" w:rsidRDefault="00000000" w:rsidRPr="00000000" w14:paraId="00000103">
      <w:pPr>
        <w:spacing w:after="0"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Dopuszcza się realizację usługi w formule on-line na odpowiedniej platformie webinarowej. Dopuszcza się również realizację usługi poza terenem, o którym mowa w pkt 4, w przypadku: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:rsidR="00000000" w:rsidDel="00000000" w:rsidP="00000000" w:rsidRDefault="00000000" w:rsidRPr="00000000" w14:paraId="00000105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1"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Przez powiązania kapitałowe lub osobowe należy rozumieć powiązania, o których mowa w ust. 2 pkt 2.</w:t>
      </w:r>
    </w:p>
  </w:footnote>
  <w:footnote w:id="12"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Dokumenty rozliczeniowe składane są w jednym egzemplarzu.</w:t>
      </w:r>
    </w:p>
  </w:footnote>
  <w:footnote w:id="13"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W przypadku braku nr PESEL należy podać datę urodzenia oraz typ i numer dokumentu tożsamości</w:t>
      </w:r>
    </w:p>
  </w:footnote>
  <w:footnote w:id="14"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Nie jest możliwe podpisanie wniosku podpisem zaufanym.</w:t>
      </w:r>
    </w:p>
  </w:footnote>
  <w:footnote w:id="0">
    <w:p w:rsidR="00000000" w:rsidDel="00000000" w:rsidP="00000000" w:rsidRDefault="00000000" w:rsidRPr="00000000" w14:paraId="0000010F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Jednej lub więcej, zgodnie z treścią umowy.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4714875" cy="647700"/>
          <wp:effectExtent b="0" l="0" r="0" t="0"/>
          <wp:docPr descr="Logotypy programu Fundusze Europejskie dla Śląskiego 2021-2027 (mono poziom)" id="2" name="image1.png"/>
          <a:graphic>
            <a:graphicData uri="http://schemas.openxmlformats.org/drawingml/2006/picture">
              <pic:pic>
                <pic:nvPicPr>
                  <pic:cNvPr descr="Logotypy programu Fundusze Europejskie dla Śląskiego 2021-2027 (mono poziom)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2123" w:hanging="705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80" w:hanging="360"/>
      </w:pPr>
      <w:rPr/>
    </w:lvl>
    <w:lvl w:ilvl="1">
      <w:start w:val="0"/>
      <w:numFmt w:val="bullet"/>
      <w:lvlText w:val="●"/>
      <w:lvlJc w:val="left"/>
      <w:pPr>
        <w:ind w:left="11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20" w:hanging="180"/>
      </w:pPr>
      <w:rPr/>
    </w:lvl>
    <w:lvl w:ilvl="3">
      <w:start w:val="1"/>
      <w:numFmt w:val="decimal"/>
      <w:lvlText w:val="%4."/>
      <w:lvlJc w:val="left"/>
      <w:pPr>
        <w:ind w:left="360" w:hanging="360"/>
      </w:pPr>
      <w:rPr/>
    </w:lvl>
    <w:lvl w:ilvl="4">
      <w:start w:val="1"/>
      <w:numFmt w:val="lowerLetter"/>
      <w:lvlText w:val="%5."/>
      <w:lvlJc w:val="left"/>
      <w:pPr>
        <w:ind w:left="3260" w:hanging="360"/>
      </w:pPr>
      <w:rPr/>
    </w:lvl>
    <w:lvl w:ilvl="5">
      <w:start w:val="1"/>
      <w:numFmt w:val="lowerRoman"/>
      <w:lvlText w:val="%6."/>
      <w:lvlJc w:val="right"/>
      <w:pPr>
        <w:ind w:left="3980" w:hanging="180"/>
      </w:pPr>
      <w:rPr/>
    </w:lvl>
    <w:lvl w:ilvl="6">
      <w:start w:val="1"/>
      <w:numFmt w:val="decimal"/>
      <w:lvlText w:val="%7."/>
      <w:lvlJc w:val="left"/>
      <w:pPr>
        <w:ind w:left="4700" w:hanging="360"/>
      </w:pPr>
      <w:rPr/>
    </w:lvl>
    <w:lvl w:ilvl="7">
      <w:start w:val="1"/>
      <w:numFmt w:val="lowerLetter"/>
      <w:lvlText w:val="%8."/>
      <w:lvlJc w:val="left"/>
      <w:pPr>
        <w:ind w:left="5420" w:hanging="360"/>
      </w:pPr>
      <w:rPr/>
    </w:lvl>
    <w:lvl w:ilvl="8">
      <w:start w:val="1"/>
      <w:numFmt w:val="lowerRoman"/>
      <w:lvlText w:val="%9."/>
      <w:lvlJc w:val="right"/>
      <w:pPr>
        <w:ind w:left="6140" w:hanging="180"/>
      </w:pPr>
      <w:rPr/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425" w:hanging="425"/>
      </w:pPr>
      <w:rPr>
        <w:rFonts w:ascii="Calibri" w:cs="Calibri" w:eastAsia="Calibri" w:hAnsi="Calibri"/>
        <w:b w:val="0"/>
      </w:rPr>
    </w:lvl>
    <w:lvl w:ilvl="1">
      <w:start w:val="1"/>
      <w:numFmt w:val="decimal"/>
      <w:lvlText w:val="%2)"/>
      <w:lvlJc w:val="left"/>
      <w:pPr>
        <w:ind w:left="851" w:hanging="426.00000000000006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276" w:hanging="425"/>
      </w:pPr>
      <w:rPr/>
    </w:lvl>
    <w:lvl w:ilvl="2">
      <w:start w:val="1"/>
      <w:numFmt w:val="lowerRoman"/>
      <w:lvlText w:val="%3)"/>
      <w:lvlJc w:val="left"/>
      <w:pPr>
        <w:ind w:left="2700" w:hanging="72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851" w:hanging="426.00000000000006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1134" w:hanging="425.9999999999999"/>
      </w:pPr>
      <w:rPr/>
    </w:lvl>
    <w:lvl w:ilvl="1">
      <w:start w:val="1"/>
      <w:numFmt w:val="lowerLetter"/>
      <w:lvlText w:val="%2."/>
      <w:lvlJc w:val="left"/>
      <w:pPr>
        <w:ind w:left="1723" w:hanging="360"/>
      </w:pPr>
      <w:rPr/>
    </w:lvl>
    <w:lvl w:ilvl="2">
      <w:start w:val="1"/>
      <w:numFmt w:val="lowerRoman"/>
      <w:lvlText w:val="%3."/>
      <w:lvlJc w:val="right"/>
      <w:pPr>
        <w:ind w:left="2443" w:hanging="180"/>
      </w:pPr>
      <w:rPr/>
    </w:lvl>
    <w:lvl w:ilvl="3">
      <w:start w:val="1"/>
      <w:numFmt w:val="decimal"/>
      <w:lvlText w:val="%4."/>
      <w:lvlJc w:val="left"/>
      <w:pPr>
        <w:ind w:left="3163" w:hanging="360"/>
      </w:pPr>
      <w:rPr/>
    </w:lvl>
    <w:lvl w:ilvl="4">
      <w:start w:val="1"/>
      <w:numFmt w:val="lowerLetter"/>
      <w:lvlText w:val="%5."/>
      <w:lvlJc w:val="left"/>
      <w:pPr>
        <w:ind w:left="3883" w:hanging="360"/>
      </w:pPr>
      <w:rPr/>
    </w:lvl>
    <w:lvl w:ilvl="5">
      <w:start w:val="1"/>
      <w:numFmt w:val="lowerRoman"/>
      <w:lvlText w:val="%6."/>
      <w:lvlJc w:val="right"/>
      <w:pPr>
        <w:ind w:left="4603" w:hanging="180"/>
      </w:pPr>
      <w:rPr/>
    </w:lvl>
    <w:lvl w:ilvl="6">
      <w:start w:val="1"/>
      <w:numFmt w:val="decimal"/>
      <w:lvlText w:val="%7."/>
      <w:lvlJc w:val="left"/>
      <w:pPr>
        <w:ind w:left="5323" w:hanging="360"/>
      </w:pPr>
      <w:rPr/>
    </w:lvl>
    <w:lvl w:ilvl="7">
      <w:start w:val="1"/>
      <w:numFmt w:val="lowerLetter"/>
      <w:lvlText w:val="%8."/>
      <w:lvlJc w:val="left"/>
      <w:pPr>
        <w:ind w:left="6043" w:hanging="360"/>
      </w:pPr>
      <w:rPr/>
    </w:lvl>
    <w:lvl w:ilvl="8">
      <w:start w:val="1"/>
      <w:numFmt w:val="lowerRoman"/>
      <w:lvlText w:val="%9."/>
      <w:lvlJc w:val="right"/>
      <w:pPr>
        <w:ind w:left="6763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ind w:left="851" w:hanging="426.00000000000006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19">
    <w:lvl w:ilvl="0">
      <w:start w:val="1"/>
      <w:numFmt w:val="decimal"/>
      <w:lvlText w:val="%1)"/>
      <w:lvlJc w:val="left"/>
      <w:pPr>
        <w:ind w:left="851" w:hanging="426.00000000000006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3"/>
      <w:numFmt w:val="decimal"/>
      <w:lvlText w:val="%1)"/>
      <w:lvlJc w:val="left"/>
      <w:pPr>
        <w:ind w:left="1277" w:hanging="42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decimal"/>
      <w:lvlText w:val="%1)"/>
      <w:lvlJc w:val="left"/>
      <w:pPr>
        <w:ind w:left="851" w:hanging="426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)"/>
      <w:lvlJc w:val="left"/>
      <w:pPr>
        <w:ind w:left="786" w:hanging="360.00000000000006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3">
    <w:lvl w:ilvl="0">
      <w:start w:val="1"/>
      <w:numFmt w:val="bullet"/>
      <w:lvlText w:val="−"/>
      <w:lvlJc w:val="left"/>
      <w:pPr>
        <w:ind w:left="242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8">
    <w:lvl w:ilvl="0">
      <w:start w:val="1"/>
      <w:numFmt w:val="decimal"/>
      <w:lvlText w:val="%1)"/>
      <w:lvlJc w:val="left"/>
      <w:pPr>
        <w:ind w:left="851" w:hanging="426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0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Default" w:customStyle="1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cs="Times New Roman" w:hAnsi="Times New Roman"/>
      <w:position w:val="0"/>
      <w:vertAlign w:val="superscript"/>
    </w:rPr>
  </w:style>
  <w:style w:type="character" w:styleId="TekstprzypisudolnegoZnak" w:customStyle="1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 w:val="1"/>
    <w:rsid w:val="003B1413"/>
    <w:rPr>
      <w:rFonts w:ascii="Times New Roman" w:cs="Times New Roman" w:hAnsi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 w:val="1"/>
      <w:autoSpaceDN w:val="0"/>
      <w:spacing w:after="0" w:line="240" w:lineRule="auto"/>
    </w:pPr>
    <w:rPr>
      <w:rFonts w:ascii="Times New Roman" w:cs="Times New Roman" w:eastAsia="Calibri" w:hAnsi="Times New Roman"/>
      <w:kern w:val="3"/>
      <w:sz w:val="20"/>
      <w:szCs w:val="20"/>
    </w:rPr>
  </w:style>
  <w:style w:type="character" w:styleId="FootnoteTextChar1" w:customStyle="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 w:val="1"/>
    <w:rsid w:val="002A42E2"/>
    <w:rPr>
      <w:rFonts w:cs="Calibri" w:eastAsia="Times New Roman"/>
      <w:sz w:val="20"/>
      <w:szCs w:val="20"/>
      <w:lang w:eastAsia="en-US"/>
    </w:rPr>
  </w:style>
  <w:style w:type="character" w:styleId="TekstprzypisudolnegoZnak1" w:customStyle="1">
    <w:name w:val="Tekst przypisu dolnego Znak1"/>
    <w:basedOn w:val="Domylnaczcionkaakapitu"/>
    <w:uiPriority w:val="99"/>
    <w:semiHidden w:val="1"/>
    <w:rsid w:val="003B1413"/>
    <w:rPr>
      <w:rFonts w:ascii="Calibri" w:cs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locked w:val="1"/>
    <w:rsid w:val="003B1413"/>
    <w:rPr>
      <w:rFonts w:ascii="Calibri" w:cs="Calibri" w:hAnsi="Calibri"/>
      <w:sz w:val="20"/>
      <w:szCs w:val="20"/>
    </w:rPr>
  </w:style>
  <w:style w:type="paragraph" w:styleId="Akapitzlist2" w:customStyle="1">
    <w:name w:val="Akapit z listą2"/>
    <w:basedOn w:val="Normalny"/>
    <w:uiPriority w:val="99"/>
    <w:rsid w:val="003B1413"/>
    <w:pPr>
      <w:ind w:left="720"/>
    </w:pPr>
  </w:style>
  <w:style w:type="paragraph" w:styleId="Akapitzlist1" w:customStyle="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styleId="ListParagraphChar" w:customStyle="1">
    <w:name w:val="List Paragraph Char"/>
    <w:link w:val="Akapitzlist1"/>
    <w:uiPriority w:val="99"/>
    <w:locked w:val="1"/>
    <w:rsid w:val="003B1413"/>
    <w:rPr>
      <w:rFonts w:ascii="Calibri" w:cs="Calibri" w:eastAsia="Times New Roman" w:hAnsi="Calibri"/>
    </w:rPr>
  </w:style>
  <w:style w:type="paragraph" w:styleId="Akapitzlist">
    <w:name w:val="List Paragraph"/>
    <w:basedOn w:val="Normalny"/>
    <w:link w:val="AkapitzlistZnak"/>
    <w:uiPriority w:val="34"/>
    <w:qFormat w:val="1"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 w:val="1"/>
      <w:autoSpaceDN w:val="0"/>
      <w:spacing w:after="120" w:line="240" w:lineRule="auto"/>
      <w:textAlignment w:val="baseline"/>
    </w:pPr>
    <w:rPr>
      <w:rFonts w:ascii="Times New Roman" w:cs="Times New Roman" w:hAnsi="Times New Roman"/>
      <w:kern w:val="3"/>
      <w:sz w:val="20"/>
      <w:szCs w:val="20"/>
      <w:lang w:eastAsia="pl-PL"/>
    </w:rPr>
  </w:style>
  <w:style w:type="character" w:styleId="TekstpodstawowyZnak1" w:customStyle="1">
    <w:name w:val="Tekst podstawowy Znak1"/>
    <w:basedOn w:val="Domylnaczcionkaakapitu"/>
    <w:link w:val="Tekstpodstawowy"/>
    <w:uiPriority w:val="99"/>
    <w:locked w:val="1"/>
    <w:rsid w:val="003B1413"/>
    <w:rPr>
      <w:rFonts w:ascii="Times New Roman" w:cs="Times New Roman" w:hAnsi="Times New Roman"/>
      <w:kern w:val="3"/>
      <w:sz w:val="20"/>
      <w:szCs w:val="20"/>
      <w:lang w:eastAsia="pl-PL"/>
    </w:rPr>
  </w:style>
  <w:style w:type="character" w:styleId="TekstpodstawowyZnak" w:customStyle="1">
    <w:name w:val="Tekst podstawowy Znak"/>
    <w:basedOn w:val="Domylnaczcionkaakapitu"/>
    <w:uiPriority w:val="99"/>
    <w:semiHidden w:val="1"/>
    <w:rsid w:val="003B1413"/>
    <w:rPr>
      <w:rFonts w:ascii="Calibri" w:cs="Calibri" w:hAnsi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NagwekZnak" w:customStyle="1">
    <w:name w:val="Nagłówek Znak"/>
    <w:basedOn w:val="Domylnaczcionkaakapitu"/>
    <w:link w:val="Nagwek"/>
    <w:uiPriority w:val="99"/>
    <w:locked w:val="1"/>
    <w:rsid w:val="003B1413"/>
    <w:rPr>
      <w:rFonts w:ascii="Calibri" w:cs="Calibri" w:eastAsia="Times New Roman" w:hAnsi="Calibri"/>
      <w:sz w:val="20"/>
      <w:szCs w:val="20"/>
    </w:rPr>
  </w:style>
  <w:style w:type="character" w:styleId="Teksttreci2" w:customStyle="1">
    <w:name w:val="Tekst treści (2)_"/>
    <w:link w:val="Teksttreci20"/>
    <w:uiPriority w:val="99"/>
    <w:locked w:val="1"/>
    <w:rsid w:val="003B1413"/>
    <w:rPr>
      <w:shd w:color="auto" w:fill="ffffff" w:val="clear"/>
    </w:rPr>
  </w:style>
  <w:style w:type="paragraph" w:styleId="Teksttreci20" w:customStyle="1">
    <w:name w:val="Tekst treści (2)"/>
    <w:basedOn w:val="Normalny"/>
    <w:link w:val="Teksttreci2"/>
    <w:uiPriority w:val="99"/>
    <w:rsid w:val="003B1413"/>
    <w:pPr>
      <w:widowControl w:val="0"/>
      <w:shd w:color="auto" w:fill="ffffff" w:val="clear"/>
      <w:spacing w:after="240" w:before="120" w:line="240" w:lineRule="atLeast"/>
      <w:ind w:hanging="620"/>
      <w:jc w:val="center"/>
    </w:pPr>
    <w:rPr>
      <w:rFonts w:cs="Times New Roman" w:eastAsia="Calibri"/>
      <w:sz w:val="20"/>
      <w:szCs w:val="20"/>
      <w:shd w:color="auto" w:fill="ffffff" w:val="clear"/>
    </w:rPr>
  </w:style>
  <w:style w:type="character" w:styleId="AkapitzlistZnak" w:customStyle="1">
    <w:name w:val="Akapit z listą Znak"/>
    <w:link w:val="Akapitzlist"/>
    <w:uiPriority w:val="34"/>
    <w:locked w:val="1"/>
    <w:rsid w:val="003B1413"/>
    <w:rPr>
      <w:rFonts w:ascii="Calibri" w:cs="Calibri" w:eastAsia="Times New Roman" w:hAnsi="Calibri"/>
    </w:rPr>
  </w:style>
  <w:style w:type="paragraph" w:styleId="Akapitzlist3" w:customStyle="1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 w:val="1"/>
    <w:rsid w:val="003B141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locked w:val="1"/>
    <w:rsid w:val="003B1413"/>
    <w:rPr>
      <w:rFonts w:ascii="Segoe UI" w:cs="Segoe UI" w:hAnsi="Segoe UI"/>
      <w:sz w:val="18"/>
      <w:szCs w:val="18"/>
    </w:rPr>
  </w:style>
  <w:style w:type="paragraph" w:styleId="Akapitzlist4" w:customStyle="1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rsid w:val="0028411D"/>
    <w:pPr>
      <w:spacing w:line="240" w:lineRule="auto"/>
    </w:pPr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locked w:val="1"/>
    <w:rsid w:val="0028411D"/>
    <w:rPr>
      <w:rFonts w:ascii="Calibri" w:cs="Calibri" w:hAnsi="Calibri"/>
      <w:b w:val="1"/>
      <w:bCs w:val="1"/>
      <w:sz w:val="20"/>
      <w:szCs w:val="20"/>
    </w:rPr>
  </w:style>
  <w:style w:type="paragraph" w:styleId="Akapitzlist5" w:customStyle="1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 w:val="1"/>
    <w:uiPriority w:val="99"/>
    <w:semiHidden w:val="1"/>
    <w:rsid w:val="00E87443"/>
    <w:rPr>
      <w:rFonts w:cs="Calibri" w:eastAsia="Times New Roman"/>
      <w:sz w:val="22"/>
      <w:szCs w:val="22"/>
      <w:lang w:eastAsia="en-US"/>
    </w:rPr>
  </w:style>
  <w:style w:type="paragraph" w:styleId="Akapitzlist6" w:customStyle="1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styleId="Akapitzlist11" w:customStyle="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styleId="Textbody" w:customStyle="1">
    <w:name w:val="Text body"/>
    <w:basedOn w:val="Normalny"/>
    <w:rsid w:val="0072464C"/>
    <w:pPr>
      <w:tabs>
        <w:tab w:val="left" w:pos="900"/>
      </w:tabs>
      <w:suppressAutoHyphens w:val="1"/>
      <w:autoSpaceDN w:val="0"/>
      <w:spacing w:after="0" w:line="240" w:lineRule="auto"/>
      <w:jc w:val="both"/>
      <w:textAlignment w:val="baseline"/>
    </w:pPr>
    <w:rPr>
      <w:rFonts w:ascii="Times New Roman" w:cs="Times New Roman" w:hAnsi="Times New Roman"/>
      <w:kern w:val="3"/>
      <w:sz w:val="24"/>
      <w:szCs w:val="24"/>
      <w:lang w:eastAsia="pl-PL"/>
    </w:rPr>
  </w:style>
  <w:style w:type="paragraph" w:styleId="Standard" w:customStyle="1">
    <w:name w:val="Standard"/>
    <w:uiPriority w:val="99"/>
    <w:rsid w:val="0072464C"/>
    <w:pPr>
      <w:suppressAutoHyphens w:val="1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styleId="object" w:customStyle="1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 w:val="1"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D727A"/>
    <w:rPr>
      <w:rFonts w:cs="Calibri" w:eastAsia="Times New Roman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N0Wo+Yq4FQewPR8Btc7ttpdEVA==">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2025-09-01T11:27:00Z</dcterms:created>
  <dc:creator>Michał Łaczmański</dc:creator>
</cp:coreProperties>
</file>